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153DB" w14:textId="430D7BE1" w:rsidR="006E2099" w:rsidRDefault="00AF7C8B" w:rsidP="00D01896">
      <w:pPr>
        <w:pStyle w:val="Web"/>
        <w:shd w:val="clear" w:color="auto" w:fill="FFFFFF"/>
        <w:snapToGrid w:val="0"/>
        <w:spacing w:before="0" w:beforeAutospacing="0" w:after="0" w:afterAutospacing="0"/>
        <w:jc w:val="center"/>
        <w:rPr>
          <w:rFonts w:ascii="Roboto" w:hAnsi="Roboto"/>
          <w:color w:val="4D4D4D"/>
          <w:sz w:val="40"/>
          <w:szCs w:val="40"/>
          <w:lang w:val="en-US"/>
        </w:rPr>
      </w:pPr>
      <w:r w:rsidRPr="006E2099">
        <w:rPr>
          <w:rStyle w:val="aa"/>
          <w:rFonts w:ascii="ＭＳ 明朝" w:eastAsia="ＭＳ 明朝" w:hAnsi="ＭＳ 明朝" w:cs="ＭＳ 明朝"/>
          <w:color w:val="4D4D4D"/>
          <w:sz w:val="40"/>
          <w:szCs w:val="40"/>
          <w:lang w:val="en-US"/>
        </w:rPr>
        <w:t xml:space="preserve">Conférence </w:t>
      </w:r>
      <w:r w:rsidRPr="006E2099">
        <w:rPr>
          <w:rStyle w:val="aa"/>
          <w:rFonts w:ascii="ＭＳ 明朝" w:eastAsia="ＭＳ 明朝" w:hAnsi="ＭＳ 明朝" w:cs="ＭＳ 明朝" w:hint="eastAsia"/>
          <w:color w:val="4D4D4D"/>
          <w:sz w:val="40"/>
          <w:szCs w:val="40"/>
        </w:rPr>
        <w:t>講演会</w:t>
      </w:r>
    </w:p>
    <w:p w14:paraId="43A1D7CF" w14:textId="77777777" w:rsidR="00D01896" w:rsidRPr="00D01896" w:rsidRDefault="00D01896" w:rsidP="00D01896">
      <w:pPr>
        <w:pStyle w:val="Web"/>
        <w:shd w:val="clear" w:color="auto" w:fill="FFFFFF"/>
        <w:snapToGrid w:val="0"/>
        <w:spacing w:before="0" w:beforeAutospacing="0" w:after="0" w:afterAutospacing="0"/>
        <w:jc w:val="center"/>
        <w:rPr>
          <w:rFonts w:ascii="Roboto" w:hAnsi="Roboto"/>
          <w:color w:val="4D4D4D"/>
          <w:sz w:val="16"/>
          <w:szCs w:val="16"/>
          <w:lang w:val="en-US"/>
        </w:rPr>
      </w:pPr>
    </w:p>
    <w:p w14:paraId="1CB3D49F" w14:textId="1C774A12" w:rsidR="00AF7C8B" w:rsidRPr="006E2099" w:rsidRDefault="00AF7C8B" w:rsidP="00D01896">
      <w:pPr>
        <w:pStyle w:val="Web"/>
        <w:shd w:val="clear" w:color="auto" w:fill="FFFFFF"/>
        <w:snapToGrid w:val="0"/>
        <w:spacing w:before="0" w:beforeAutospacing="0" w:after="0" w:afterAutospacing="0"/>
        <w:jc w:val="center"/>
        <w:rPr>
          <w:rFonts w:ascii="Roboto" w:hAnsi="Roboto"/>
          <w:color w:val="4D4D4D"/>
        </w:rPr>
      </w:pPr>
      <w:r w:rsidRPr="006E2099">
        <w:rPr>
          <w:rFonts w:ascii="ＭＳ 明朝" w:eastAsia="ＭＳ 明朝" w:hAnsi="ＭＳ 明朝" w:cs="ＭＳ 明朝"/>
          <w:b/>
          <w:bCs/>
          <w:color w:val="4D4D4D"/>
          <w:lang w:val="en-US"/>
        </w:rPr>
        <w:t xml:space="preserve">En français, sans traduction </w:t>
      </w:r>
      <w:r w:rsidRPr="006E2099">
        <w:rPr>
          <w:rFonts w:ascii="ＭＳ 明朝" w:eastAsia="ＭＳ 明朝" w:hAnsi="ＭＳ 明朝" w:cs="ＭＳ 明朝" w:hint="eastAsia"/>
          <w:b/>
          <w:bCs/>
          <w:color w:val="4D4D4D"/>
        </w:rPr>
        <w:t xml:space="preserve">使用言語：仏語　</w:t>
      </w:r>
      <w:r w:rsidRPr="006E2099">
        <w:rPr>
          <w:rFonts w:ascii="ＭＳ 明朝" w:eastAsia="ＭＳ 明朝" w:hAnsi="ＭＳ 明朝" w:cs="ＭＳ 明朝" w:hint="eastAsia"/>
          <w:color w:val="4D4D4D"/>
        </w:rPr>
        <w:t>（</w:t>
      </w:r>
      <w:r w:rsidRPr="006E2099">
        <w:rPr>
          <w:rFonts w:ascii="ＭＳ 明朝" w:eastAsia="ＭＳ 明朝" w:hAnsi="ＭＳ 明朝" w:cs="ＭＳ 明朝" w:hint="eastAsia"/>
          <w:b/>
          <w:bCs/>
          <w:color w:val="4D4D4D"/>
        </w:rPr>
        <w:t>逐次通訳なし</w:t>
      </w:r>
      <w:r w:rsidRPr="006E2099">
        <w:rPr>
          <w:rFonts w:ascii="ＭＳ 明朝" w:eastAsia="ＭＳ 明朝" w:hAnsi="ＭＳ 明朝" w:cs="ＭＳ 明朝" w:hint="eastAsia"/>
          <w:color w:val="4D4D4D"/>
        </w:rPr>
        <w:t>）</w:t>
      </w:r>
    </w:p>
    <w:p w14:paraId="71D266BD" w14:textId="77777777" w:rsidR="006E2099" w:rsidRDefault="006E2099" w:rsidP="00D01896">
      <w:pPr>
        <w:snapToGrid w:val="0"/>
        <w:jc w:val="center"/>
        <w:rPr>
          <w:sz w:val="28"/>
          <w:szCs w:val="28"/>
        </w:rPr>
      </w:pPr>
    </w:p>
    <w:p w14:paraId="6F039828" w14:textId="77777777" w:rsidR="009010B9" w:rsidRPr="009010B9" w:rsidRDefault="00AF7C8B" w:rsidP="006E2099">
      <w:pPr>
        <w:snapToGrid w:val="0"/>
        <w:jc w:val="center"/>
        <w:rPr>
          <w:sz w:val="50"/>
          <w:szCs w:val="50"/>
        </w:rPr>
      </w:pPr>
      <w:r w:rsidRPr="009010B9">
        <w:rPr>
          <w:sz w:val="50"/>
          <w:szCs w:val="50"/>
        </w:rPr>
        <w:t>Christian Belin</w:t>
      </w:r>
      <w:r w:rsidR="006E2099" w:rsidRPr="009010B9">
        <w:rPr>
          <w:sz w:val="50"/>
          <w:szCs w:val="50"/>
        </w:rPr>
        <w:t xml:space="preserve"> </w:t>
      </w:r>
    </w:p>
    <w:p w14:paraId="3295CDEF" w14:textId="77777777" w:rsidR="009010B9" w:rsidRDefault="009010B9" w:rsidP="006E2099">
      <w:pPr>
        <w:snapToGrid w:val="0"/>
        <w:jc w:val="center"/>
        <w:rPr>
          <w:sz w:val="28"/>
          <w:szCs w:val="28"/>
        </w:rPr>
      </w:pPr>
      <w:r w:rsidRPr="006E2099">
        <w:rPr>
          <w:sz w:val="28"/>
          <w:szCs w:val="28"/>
        </w:rPr>
        <w:t>Professeur à l’université Paul-Valéry de Montpellier</w:t>
      </w:r>
    </w:p>
    <w:p w14:paraId="5B359896" w14:textId="380A2696" w:rsidR="006E2099" w:rsidRPr="009010B9" w:rsidRDefault="006E2099" w:rsidP="009010B9">
      <w:pPr>
        <w:snapToGrid w:val="0"/>
        <w:jc w:val="center"/>
        <w:rPr>
          <w:sz w:val="50"/>
          <w:szCs w:val="50"/>
        </w:rPr>
      </w:pPr>
      <w:r w:rsidRPr="009010B9">
        <w:rPr>
          <w:sz w:val="50"/>
          <w:szCs w:val="50"/>
        </w:rPr>
        <w:t>クリスティアン・ブラン</w:t>
      </w:r>
    </w:p>
    <w:p w14:paraId="365031FD" w14:textId="235DA953" w:rsidR="00AF7C8B" w:rsidRPr="00AF7C8B" w:rsidRDefault="006E2099" w:rsidP="006E2099">
      <w:pPr>
        <w:snapToGrid w:val="0"/>
        <w:jc w:val="center"/>
        <w:rPr>
          <w:sz w:val="28"/>
          <w:szCs w:val="28"/>
        </w:rPr>
      </w:pPr>
      <w:r w:rsidRPr="006E2099">
        <w:rPr>
          <w:sz w:val="28"/>
          <w:szCs w:val="28"/>
        </w:rPr>
        <w:t>モンペリエ・ポール・ヴァレリー大学教授</w:t>
      </w:r>
    </w:p>
    <w:p w14:paraId="660951E7" w14:textId="77777777" w:rsidR="006E2099" w:rsidRPr="0096233C" w:rsidRDefault="006E2099" w:rsidP="006E2099">
      <w:pPr>
        <w:jc w:val="center"/>
        <w:rPr>
          <w:sz w:val="36"/>
          <w:szCs w:val="36"/>
        </w:rPr>
      </w:pPr>
    </w:p>
    <w:p w14:paraId="53DC057D" w14:textId="21200FC2" w:rsidR="00AF7C8B" w:rsidRPr="009010B9" w:rsidRDefault="00AF7C8B" w:rsidP="006E2099">
      <w:pPr>
        <w:jc w:val="center"/>
        <w:rPr>
          <w:sz w:val="60"/>
          <w:szCs w:val="60"/>
          <w:lang w:val="fr-FR"/>
        </w:rPr>
      </w:pPr>
      <w:r w:rsidRPr="009010B9">
        <w:rPr>
          <w:sz w:val="60"/>
          <w:szCs w:val="60"/>
          <w:lang w:val="fr-FR"/>
        </w:rPr>
        <w:t>Molière iconoclaste</w:t>
      </w:r>
    </w:p>
    <w:p w14:paraId="337C1AEE" w14:textId="6CDEA102" w:rsidR="00B32376" w:rsidRPr="009010B9" w:rsidRDefault="00B32376" w:rsidP="006E2099">
      <w:pPr>
        <w:jc w:val="center"/>
        <w:rPr>
          <w:sz w:val="56"/>
          <w:szCs w:val="56"/>
          <w:lang w:val="fr-FR"/>
        </w:rPr>
      </w:pPr>
      <w:r w:rsidRPr="009010B9">
        <w:rPr>
          <w:sz w:val="56"/>
          <w:szCs w:val="56"/>
          <w:lang w:val="fr-FR"/>
        </w:rPr>
        <w:t>反国教徒のモリエール</w:t>
      </w:r>
    </w:p>
    <w:p w14:paraId="57C4A81A" w14:textId="50823E40" w:rsidR="00D01896" w:rsidRPr="009010B9" w:rsidRDefault="00AF7C8B" w:rsidP="009010B9">
      <w:pPr>
        <w:jc w:val="center"/>
        <w:rPr>
          <w:sz w:val="28"/>
          <w:szCs w:val="28"/>
        </w:rPr>
      </w:pPr>
      <w:r w:rsidRPr="00AF7C8B">
        <w:rPr>
          <w:noProof/>
          <w:sz w:val="28"/>
          <w:szCs w:val="28"/>
        </w:rPr>
        <w:drawing>
          <wp:inline distT="0" distB="0" distL="0" distR="0" wp14:anchorId="7716155E" wp14:editId="6301A0CA">
            <wp:extent cx="1193193" cy="1409700"/>
            <wp:effectExtent l="0" t="0" r="6985" b="0"/>
            <wp:docPr id="1475291207" name="Picture 2" descr="A person in a white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291207" name="Picture 2" descr="A person in a white shir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1719" cy="1419773"/>
                    </a:xfrm>
                    <a:prstGeom prst="rect">
                      <a:avLst/>
                    </a:prstGeom>
                    <a:noFill/>
                    <a:ln>
                      <a:noFill/>
                    </a:ln>
                  </pic:spPr>
                </pic:pic>
              </a:graphicData>
            </a:graphic>
          </wp:inline>
        </w:drawing>
      </w:r>
      <w:r w:rsidRPr="00AF7C8B">
        <w:rPr>
          <w:noProof/>
          <w:sz w:val="28"/>
          <w:szCs w:val="28"/>
        </w:rPr>
        <w:drawing>
          <wp:inline distT="0" distB="0" distL="0" distR="0" wp14:anchorId="0D3EF09F" wp14:editId="3289634A">
            <wp:extent cx="2875360" cy="3261360"/>
            <wp:effectExtent l="0" t="0" r="1270" b="0"/>
            <wp:docPr id="837017102" name="Picture 4" descr="A close-up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017102" name="Picture 4" descr="A close-up of a person&#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77430" cy="3263708"/>
                    </a:xfrm>
                    <a:prstGeom prst="rect">
                      <a:avLst/>
                    </a:prstGeom>
                    <a:noFill/>
                    <a:ln>
                      <a:noFill/>
                    </a:ln>
                  </pic:spPr>
                </pic:pic>
              </a:graphicData>
            </a:graphic>
          </wp:inline>
        </w:drawing>
      </w:r>
    </w:p>
    <w:p w14:paraId="15FBCE92" w14:textId="77777777" w:rsidR="009010B9" w:rsidRDefault="009010B9" w:rsidP="009010B9">
      <w:pPr>
        <w:snapToGrid w:val="0"/>
        <w:jc w:val="center"/>
        <w:rPr>
          <w:sz w:val="27"/>
          <w:szCs w:val="27"/>
          <w:lang w:val="fr-FR"/>
        </w:rPr>
      </w:pPr>
    </w:p>
    <w:p w14:paraId="1FFFFFD9" w14:textId="034C8E54" w:rsidR="009010B9" w:rsidRDefault="00D01896" w:rsidP="009010B9">
      <w:pPr>
        <w:snapToGrid w:val="0"/>
        <w:jc w:val="center"/>
        <w:rPr>
          <w:sz w:val="27"/>
          <w:szCs w:val="27"/>
          <w:lang w:val="fr-FR"/>
        </w:rPr>
      </w:pPr>
      <w:r w:rsidRPr="009010B9">
        <w:rPr>
          <w:rFonts w:hint="eastAsia"/>
          <w:sz w:val="27"/>
          <w:szCs w:val="27"/>
          <w:lang w:val="fr-FR"/>
        </w:rPr>
        <w:t>Lundi 2</w:t>
      </w:r>
      <w:r w:rsidR="00036DB3">
        <w:rPr>
          <w:sz w:val="27"/>
          <w:szCs w:val="27"/>
          <w:lang w:val="fr-FR"/>
        </w:rPr>
        <w:t>5</w:t>
      </w:r>
      <w:r w:rsidRPr="009010B9">
        <w:rPr>
          <w:rFonts w:hint="eastAsia"/>
          <w:sz w:val="27"/>
          <w:szCs w:val="27"/>
          <w:lang w:val="fr-FR"/>
        </w:rPr>
        <w:t xml:space="preserve"> novembre</w:t>
      </w:r>
      <w:r w:rsidRPr="009010B9">
        <w:rPr>
          <w:sz w:val="27"/>
          <w:szCs w:val="27"/>
          <w:lang w:val="fr-FR"/>
        </w:rPr>
        <w:t xml:space="preserve"> </w:t>
      </w:r>
      <w:r w:rsidRPr="009010B9">
        <w:rPr>
          <w:rFonts w:hint="eastAsia"/>
          <w:sz w:val="27"/>
          <w:szCs w:val="27"/>
          <w:lang w:val="fr-FR"/>
        </w:rPr>
        <w:t>2024</w:t>
      </w:r>
      <w:r w:rsidRPr="009010B9">
        <w:rPr>
          <w:sz w:val="27"/>
          <w:szCs w:val="27"/>
          <w:lang w:val="fr-FR"/>
        </w:rPr>
        <w:t xml:space="preserve"> à partir de 17h</w:t>
      </w:r>
      <w:r w:rsidR="009010B9" w:rsidRPr="009010B9">
        <w:rPr>
          <w:sz w:val="27"/>
          <w:szCs w:val="27"/>
          <w:lang w:val="fr-FR"/>
        </w:rPr>
        <w:t>15</w:t>
      </w:r>
      <w:r w:rsidRPr="009010B9">
        <w:rPr>
          <w:sz w:val="27"/>
          <w:szCs w:val="27"/>
          <w:lang w:val="fr-FR"/>
        </w:rPr>
        <w:t xml:space="preserve">  </w:t>
      </w:r>
    </w:p>
    <w:p w14:paraId="034ADC0E" w14:textId="1C3DB192" w:rsidR="009010B9" w:rsidRPr="00A264F9" w:rsidRDefault="009010B9" w:rsidP="009010B9">
      <w:pPr>
        <w:snapToGrid w:val="0"/>
        <w:jc w:val="center"/>
        <w:rPr>
          <w:sz w:val="27"/>
          <w:szCs w:val="27"/>
          <w:lang w:val="fr-FR"/>
        </w:rPr>
      </w:pPr>
      <w:r w:rsidRPr="009010B9">
        <w:rPr>
          <w:sz w:val="27"/>
          <w:szCs w:val="27"/>
          <w:lang w:val="fr-FR"/>
        </w:rPr>
        <w:t>Université Waseda, campus Toyama, bât.</w:t>
      </w:r>
      <w:r w:rsidR="00A264F9">
        <w:rPr>
          <w:sz w:val="27"/>
          <w:szCs w:val="27"/>
          <w:lang w:val="fr-FR"/>
        </w:rPr>
        <w:t xml:space="preserve">33, </w:t>
      </w:r>
      <w:r w:rsidRPr="00A264F9">
        <w:rPr>
          <w:sz w:val="27"/>
          <w:szCs w:val="27"/>
          <w:lang w:val="fr-FR"/>
        </w:rPr>
        <w:t xml:space="preserve">salle </w:t>
      </w:r>
      <w:r w:rsidR="00A264F9" w:rsidRPr="00A264F9">
        <w:rPr>
          <w:sz w:val="27"/>
          <w:szCs w:val="27"/>
          <w:lang w:val="fr-FR"/>
        </w:rPr>
        <w:t>332</w:t>
      </w:r>
    </w:p>
    <w:p w14:paraId="0CAF3117" w14:textId="27CAC2E9" w:rsidR="009010B9" w:rsidRPr="00A264F9" w:rsidRDefault="004F23CB" w:rsidP="00631F0B">
      <w:pPr>
        <w:snapToGrid w:val="0"/>
        <w:jc w:val="center"/>
        <w:rPr>
          <w:rFonts w:hint="eastAsia"/>
          <w:sz w:val="27"/>
          <w:szCs w:val="27"/>
          <w:lang w:val="fr-FR"/>
        </w:rPr>
      </w:pPr>
      <w:r>
        <w:rPr>
          <w:sz w:val="27"/>
          <w:szCs w:val="27"/>
          <w:lang w:val="fr-FR"/>
        </w:rPr>
        <w:t xml:space="preserve">Lien </w:t>
      </w:r>
      <w:r w:rsidR="00A264F9">
        <w:rPr>
          <w:sz w:val="27"/>
          <w:szCs w:val="27"/>
          <w:lang w:val="fr-FR"/>
        </w:rPr>
        <w:t>ZOOM</w:t>
      </w:r>
      <w:r w:rsidR="00631F0B" w:rsidRPr="00631F0B">
        <w:rPr>
          <w:lang w:val="fr-FR"/>
        </w:rPr>
        <w:t xml:space="preserve"> </w:t>
      </w:r>
      <w:r w:rsidR="00361F0F">
        <w:rPr>
          <w:rFonts w:hint="eastAsia"/>
          <w:lang w:val="fr-FR"/>
        </w:rPr>
        <w:t>sur</w:t>
      </w:r>
      <w:r w:rsidR="00CE6B90" w:rsidRPr="00CE6B90">
        <w:t xml:space="preserve"> </w:t>
      </w:r>
      <w:hyperlink r:id="rId7" w:history="1">
        <w:r w:rsidR="00CE6B90" w:rsidRPr="00CE6B90">
          <w:rPr>
            <w:rStyle w:val="ab"/>
            <w:sz w:val="16"/>
            <w:szCs w:val="16"/>
          </w:rPr>
          <w:t>Molière iconoclaste 反国教徒のモリエール | 早稲田大学　文学部　フランス語フランス文学コース</w:t>
        </w:r>
      </w:hyperlink>
      <w:r w:rsidR="00361F0F" w:rsidRPr="00CE6B90">
        <w:rPr>
          <w:rFonts w:hint="eastAsia"/>
          <w:sz w:val="16"/>
          <w:szCs w:val="16"/>
          <w:lang w:val="fr-FR"/>
        </w:rPr>
        <w:t xml:space="preserve"> </w:t>
      </w:r>
    </w:p>
    <w:p w14:paraId="31B5A1E1" w14:textId="18B79B41" w:rsidR="009010B9" w:rsidRPr="001D1C1F" w:rsidRDefault="00B32376" w:rsidP="009010B9">
      <w:pPr>
        <w:snapToGrid w:val="0"/>
        <w:jc w:val="center"/>
        <w:rPr>
          <w:sz w:val="26"/>
          <w:szCs w:val="26"/>
          <w:lang w:val="fr-FR"/>
        </w:rPr>
      </w:pPr>
      <w:r w:rsidRPr="001D1C1F">
        <w:rPr>
          <w:sz w:val="26"/>
          <w:szCs w:val="26"/>
          <w:lang w:val="fr-FR"/>
        </w:rPr>
        <w:t xml:space="preserve">2024 </w:t>
      </w:r>
      <w:r w:rsidRPr="009010B9">
        <w:rPr>
          <w:sz w:val="26"/>
          <w:szCs w:val="26"/>
        </w:rPr>
        <w:t>年</w:t>
      </w:r>
      <w:r w:rsidRPr="001D1C1F">
        <w:rPr>
          <w:sz w:val="26"/>
          <w:szCs w:val="26"/>
          <w:lang w:val="fr-FR"/>
        </w:rPr>
        <w:t>11</w:t>
      </w:r>
      <w:r w:rsidRPr="009010B9">
        <w:rPr>
          <w:sz w:val="26"/>
          <w:szCs w:val="26"/>
        </w:rPr>
        <w:t>月</w:t>
      </w:r>
      <w:r w:rsidRPr="001D1C1F">
        <w:rPr>
          <w:sz w:val="26"/>
          <w:szCs w:val="26"/>
          <w:lang w:val="fr-FR"/>
        </w:rPr>
        <w:t>2</w:t>
      </w:r>
      <w:r w:rsidR="00EF1C30" w:rsidRPr="001D1C1F">
        <w:rPr>
          <w:sz w:val="26"/>
          <w:szCs w:val="26"/>
          <w:lang w:val="fr-FR"/>
        </w:rPr>
        <w:t>5</w:t>
      </w:r>
      <w:r w:rsidRPr="009010B9">
        <w:rPr>
          <w:sz w:val="26"/>
          <w:szCs w:val="26"/>
        </w:rPr>
        <w:t>日</w:t>
      </w:r>
      <w:r w:rsidRPr="001D1C1F">
        <w:rPr>
          <w:sz w:val="26"/>
          <w:szCs w:val="26"/>
          <w:lang w:val="fr-FR"/>
        </w:rPr>
        <w:t>（</w:t>
      </w:r>
      <w:r w:rsidR="00D01896" w:rsidRPr="009010B9">
        <w:rPr>
          <w:rFonts w:hint="eastAsia"/>
          <w:sz w:val="26"/>
          <w:szCs w:val="26"/>
        </w:rPr>
        <w:t>月</w:t>
      </w:r>
      <w:r w:rsidRPr="001D1C1F">
        <w:rPr>
          <w:sz w:val="26"/>
          <w:szCs w:val="26"/>
          <w:lang w:val="fr-FR"/>
        </w:rPr>
        <w:t>）</w:t>
      </w:r>
      <w:r w:rsidRPr="009010B9">
        <w:rPr>
          <w:sz w:val="26"/>
          <w:szCs w:val="26"/>
        </w:rPr>
        <w:t>午後</w:t>
      </w:r>
      <w:r w:rsidRPr="001D1C1F">
        <w:rPr>
          <w:sz w:val="26"/>
          <w:szCs w:val="26"/>
          <w:lang w:val="fr-FR"/>
        </w:rPr>
        <w:t xml:space="preserve"> </w:t>
      </w:r>
      <w:r w:rsidR="00D01896" w:rsidRPr="001D1C1F">
        <w:rPr>
          <w:rFonts w:hint="eastAsia"/>
          <w:sz w:val="26"/>
          <w:szCs w:val="26"/>
          <w:lang w:val="fr-FR"/>
        </w:rPr>
        <w:t>5</w:t>
      </w:r>
      <w:r w:rsidRPr="001D1C1F">
        <w:rPr>
          <w:sz w:val="26"/>
          <w:szCs w:val="26"/>
          <w:lang w:val="fr-FR"/>
        </w:rPr>
        <w:t>:</w:t>
      </w:r>
      <w:r w:rsidR="00452F65" w:rsidRPr="001D1C1F">
        <w:rPr>
          <w:sz w:val="26"/>
          <w:szCs w:val="26"/>
          <w:lang w:val="fr-FR"/>
        </w:rPr>
        <w:t>15</w:t>
      </w:r>
      <w:r w:rsidRPr="009010B9">
        <w:rPr>
          <w:sz w:val="26"/>
          <w:szCs w:val="26"/>
        </w:rPr>
        <w:t>よ</w:t>
      </w:r>
      <w:r w:rsidR="00D01896" w:rsidRPr="009010B9">
        <w:rPr>
          <w:rFonts w:hint="eastAsia"/>
          <w:sz w:val="26"/>
          <w:szCs w:val="26"/>
        </w:rPr>
        <w:t>り</w:t>
      </w:r>
    </w:p>
    <w:p w14:paraId="682B5630" w14:textId="066433B5" w:rsidR="00D01896" w:rsidRPr="001D1C1F" w:rsidRDefault="00D01896" w:rsidP="009010B9">
      <w:pPr>
        <w:snapToGrid w:val="0"/>
        <w:jc w:val="center"/>
        <w:rPr>
          <w:sz w:val="27"/>
          <w:szCs w:val="27"/>
          <w:lang w:val="fr-FR"/>
        </w:rPr>
      </w:pPr>
      <w:r w:rsidRPr="009010B9">
        <w:rPr>
          <w:rFonts w:hint="eastAsia"/>
          <w:sz w:val="26"/>
          <w:szCs w:val="26"/>
        </w:rPr>
        <w:t>早稲田</w:t>
      </w:r>
      <w:r w:rsidR="00B32376" w:rsidRPr="009010B9">
        <w:rPr>
          <w:sz w:val="26"/>
          <w:szCs w:val="26"/>
        </w:rPr>
        <w:t>大学</w:t>
      </w:r>
      <w:r w:rsidRPr="009010B9">
        <w:rPr>
          <w:rFonts w:hint="eastAsia"/>
          <w:sz w:val="26"/>
          <w:szCs w:val="26"/>
        </w:rPr>
        <w:t>戸山キャンパス</w:t>
      </w:r>
      <w:r w:rsidRPr="001D1C1F">
        <w:rPr>
          <w:rFonts w:hint="eastAsia"/>
          <w:sz w:val="26"/>
          <w:szCs w:val="26"/>
          <w:lang w:val="fr-FR"/>
        </w:rPr>
        <w:t>33</w:t>
      </w:r>
      <w:r w:rsidRPr="009010B9">
        <w:rPr>
          <w:rFonts w:hint="eastAsia"/>
          <w:sz w:val="26"/>
          <w:szCs w:val="26"/>
        </w:rPr>
        <w:t>号</w:t>
      </w:r>
      <w:r w:rsidR="00452F65" w:rsidRPr="001D1C1F">
        <w:rPr>
          <w:sz w:val="26"/>
          <w:szCs w:val="26"/>
          <w:lang w:val="fr-FR"/>
        </w:rPr>
        <w:t>3</w:t>
      </w:r>
      <w:r w:rsidR="00B32376" w:rsidRPr="001D1C1F">
        <w:rPr>
          <w:sz w:val="26"/>
          <w:szCs w:val="26"/>
          <w:lang w:val="fr-FR"/>
        </w:rPr>
        <w:t xml:space="preserve">F </w:t>
      </w:r>
      <w:r w:rsidR="00452F65" w:rsidRPr="001D1C1F">
        <w:rPr>
          <w:sz w:val="26"/>
          <w:szCs w:val="26"/>
          <w:lang w:val="fr-FR"/>
        </w:rPr>
        <w:t>332</w:t>
      </w:r>
      <w:r w:rsidR="00B32376" w:rsidRPr="009010B9">
        <w:rPr>
          <w:sz w:val="26"/>
          <w:szCs w:val="26"/>
        </w:rPr>
        <w:t>教室</w:t>
      </w:r>
      <w:r w:rsidRPr="009010B9">
        <w:rPr>
          <w:rFonts w:ascii="ＭＳ 明朝" w:eastAsia="ＭＳ 明朝" w:hAnsi="ＭＳ 明朝" w:cs="ＭＳ 明朝" w:hint="eastAsia"/>
          <w:sz w:val="27"/>
          <w:szCs w:val="27"/>
        </w:rPr>
        <w:t xml:space="preserve">　</w:t>
      </w:r>
    </w:p>
    <w:p w14:paraId="336E4739" w14:textId="3968B625" w:rsidR="006E2099" w:rsidRPr="00537C39" w:rsidRDefault="00D01896" w:rsidP="009010B9">
      <w:pPr>
        <w:pStyle w:val="Web"/>
        <w:shd w:val="clear" w:color="auto" w:fill="FFFFFF"/>
        <w:snapToGrid w:val="0"/>
        <w:spacing w:before="0" w:beforeAutospacing="0" w:after="0" w:afterAutospacing="0"/>
        <w:jc w:val="center"/>
        <w:rPr>
          <w:rFonts w:ascii="ＭＳ 明朝" w:eastAsia="ＭＳ 明朝" w:hAnsi="ＭＳ 明朝" w:cs="ＭＳ 明朝"/>
          <w:color w:val="4D4D4D"/>
          <w:sz w:val="22"/>
          <w:szCs w:val="22"/>
          <w:lang w:val="fr-FR"/>
        </w:rPr>
      </w:pPr>
      <w:r w:rsidRPr="001D1C1F">
        <w:rPr>
          <w:rFonts w:ascii="ＭＳ 明朝" w:eastAsia="ＭＳ 明朝" w:hAnsi="ＭＳ 明朝" w:cs="ＭＳ 明朝"/>
          <w:color w:val="4D4D4D"/>
          <w:sz w:val="22"/>
          <w:szCs w:val="22"/>
          <w:lang w:val="fr-FR"/>
        </w:rPr>
        <w:t xml:space="preserve">Entrée libre </w:t>
      </w:r>
      <w:r w:rsidRPr="00AF7C8B">
        <w:rPr>
          <w:rFonts w:ascii="ＭＳ 明朝" w:eastAsia="ＭＳ 明朝" w:hAnsi="ＭＳ 明朝" w:cs="ＭＳ 明朝" w:hint="eastAsia"/>
          <w:color w:val="4D4D4D"/>
          <w:sz w:val="22"/>
          <w:szCs w:val="22"/>
        </w:rPr>
        <w:t>入場無料</w:t>
      </w:r>
      <w:r w:rsidR="009010B9" w:rsidRPr="001D1C1F">
        <w:rPr>
          <w:rFonts w:ascii="ＭＳ 明朝" w:eastAsia="ＭＳ 明朝" w:hAnsi="ＭＳ 明朝" w:cs="ＭＳ 明朝"/>
          <w:color w:val="4D4D4D"/>
          <w:sz w:val="22"/>
          <w:szCs w:val="22"/>
          <w:lang w:val="fr-FR"/>
        </w:rPr>
        <w:t xml:space="preserve"> </w:t>
      </w:r>
      <w:r w:rsidRPr="001D1C1F">
        <w:rPr>
          <w:rFonts w:ascii="ＭＳ 明朝" w:eastAsia="ＭＳ 明朝" w:hAnsi="ＭＳ 明朝" w:cs="ＭＳ 明朝"/>
          <w:color w:val="4D4D4D"/>
          <w:sz w:val="22"/>
          <w:szCs w:val="22"/>
          <w:lang w:val="fr-FR"/>
        </w:rPr>
        <w:t xml:space="preserve">Contact : </w:t>
      </w:r>
      <w:r w:rsidR="00537C39" w:rsidRPr="00537C39">
        <w:rPr>
          <w:rFonts w:ascii="ＭＳ 明朝" w:eastAsia="ＭＳ 明朝" w:hAnsi="ＭＳ 明朝" w:cs="ＭＳ 明朝"/>
          <w:color w:val="4D4D4D"/>
          <w:sz w:val="22"/>
          <w:szCs w:val="22"/>
          <w:lang w:val="fr-FR"/>
        </w:rPr>
        <w:t>salut</w:t>
      </w:r>
      <w:r w:rsidR="00BF04ED">
        <w:rPr>
          <w:rFonts w:ascii="ＭＳ 明朝" w:eastAsia="ＭＳ 明朝" w:hAnsi="ＭＳ 明朝" w:cs="ＭＳ 明朝" w:hint="eastAsia"/>
          <w:color w:val="4D4D4D"/>
          <w:sz w:val="22"/>
          <w:szCs w:val="22"/>
          <w:lang w:val="fr-FR"/>
        </w:rPr>
        <w:t>@</w:t>
      </w:r>
      <w:r w:rsidR="00537C39" w:rsidRPr="00537C39">
        <w:rPr>
          <w:rFonts w:ascii="ＭＳ 明朝" w:eastAsia="ＭＳ 明朝" w:hAnsi="ＭＳ 明朝" w:cs="ＭＳ 明朝"/>
          <w:color w:val="4D4D4D"/>
          <w:sz w:val="22"/>
          <w:szCs w:val="22"/>
          <w:lang w:val="fr-FR"/>
        </w:rPr>
        <w:t>list.waseda.jp</w:t>
      </w:r>
    </w:p>
    <w:p w14:paraId="59264F71" w14:textId="77777777" w:rsidR="00F81756" w:rsidRDefault="00F81756" w:rsidP="009010B9">
      <w:pPr>
        <w:pStyle w:val="Web"/>
        <w:shd w:val="clear" w:color="auto" w:fill="FFFFFF"/>
        <w:snapToGrid w:val="0"/>
        <w:spacing w:before="0" w:beforeAutospacing="0" w:after="0" w:afterAutospacing="0"/>
        <w:jc w:val="center"/>
        <w:rPr>
          <w:rFonts w:ascii="ＭＳ 明朝" w:eastAsia="ＭＳ 明朝" w:hAnsi="ＭＳ 明朝" w:cs="ＭＳ 明朝"/>
          <w:color w:val="4D4D4D"/>
          <w:sz w:val="22"/>
          <w:szCs w:val="22"/>
          <w:lang w:val="fr-FR"/>
        </w:rPr>
      </w:pPr>
    </w:p>
    <w:p w14:paraId="675520B9" w14:textId="175BF5B4" w:rsidR="00577D26" w:rsidRPr="00577D26" w:rsidRDefault="00577D26" w:rsidP="00577D26">
      <w:pPr>
        <w:jc w:val="center"/>
        <w:rPr>
          <w:rFonts w:ascii="Garamond" w:hAnsi="Garamond"/>
          <w:b/>
          <w:bCs/>
          <w:sz w:val="24"/>
          <w:szCs w:val="24"/>
          <w:lang w:val="fr-FR"/>
        </w:rPr>
      </w:pPr>
      <w:r w:rsidRPr="00577D26">
        <w:rPr>
          <w:rFonts w:ascii="Garamond" w:hAnsi="Garamond"/>
          <w:b/>
          <w:bCs/>
          <w:sz w:val="24"/>
          <w:szCs w:val="24"/>
          <w:lang w:val="fr-FR"/>
        </w:rPr>
        <w:t>Christian Belin</w:t>
      </w:r>
    </w:p>
    <w:p w14:paraId="615F38E4" w14:textId="77777777" w:rsidR="00577D26" w:rsidRPr="00577D26" w:rsidRDefault="00577D26" w:rsidP="00577D26">
      <w:pPr>
        <w:pStyle w:val="a9"/>
        <w:numPr>
          <w:ilvl w:val="0"/>
          <w:numId w:val="1"/>
        </w:numPr>
        <w:jc w:val="center"/>
        <w:rPr>
          <w:rFonts w:ascii="Garamond" w:hAnsi="Garamond"/>
          <w:sz w:val="24"/>
          <w:szCs w:val="24"/>
          <w:lang w:val="fr-FR"/>
        </w:rPr>
      </w:pPr>
    </w:p>
    <w:p w14:paraId="4AD08A8F" w14:textId="403BEDFC" w:rsidR="00F81756" w:rsidRPr="00577D26" w:rsidRDefault="00577D26" w:rsidP="00577D26">
      <w:pPr>
        <w:rPr>
          <w:rFonts w:ascii="Garamond" w:hAnsi="Garamond"/>
          <w:sz w:val="24"/>
          <w:szCs w:val="24"/>
          <w:lang w:val="fr-FR"/>
        </w:rPr>
      </w:pPr>
      <w:r>
        <w:rPr>
          <w:rFonts w:ascii="Garamond" w:hAnsi="Garamond"/>
          <w:sz w:val="24"/>
          <w:szCs w:val="24"/>
          <w:lang w:val="fr-FR"/>
        </w:rPr>
        <w:t xml:space="preserve">- </w:t>
      </w:r>
      <w:r w:rsidR="00F81756" w:rsidRPr="00577D26">
        <w:rPr>
          <w:rFonts w:ascii="Garamond" w:hAnsi="Garamond"/>
          <w:sz w:val="24"/>
          <w:szCs w:val="24"/>
          <w:lang w:val="fr-FR"/>
        </w:rPr>
        <w:t xml:space="preserve">Professeur de Littérature française (XVIIe siècle) à l’Université Paul Valéry de Montpellier. </w:t>
      </w:r>
    </w:p>
    <w:p w14:paraId="3D606D76" w14:textId="5D5C7751" w:rsidR="00F81756" w:rsidRPr="00F81756" w:rsidRDefault="00F81756" w:rsidP="00F81756">
      <w:pPr>
        <w:rPr>
          <w:rFonts w:ascii="Garamond" w:hAnsi="Garamond"/>
          <w:sz w:val="24"/>
          <w:szCs w:val="24"/>
          <w:lang w:val="fr-FR"/>
        </w:rPr>
      </w:pPr>
      <w:r w:rsidRPr="00F81756">
        <w:rPr>
          <w:rFonts w:ascii="Garamond" w:hAnsi="Garamond"/>
          <w:sz w:val="24"/>
          <w:szCs w:val="24"/>
          <w:lang w:val="fr-FR"/>
        </w:rPr>
        <w:t>- Membre de l’IRCL, Institut de Recherches sur la Renaissance, l’âge Classique et les Lumières, UMR 5186 du CNRS), Université Paul Valéry</w:t>
      </w:r>
    </w:p>
    <w:p w14:paraId="2FD2031F" w14:textId="01A0FF04" w:rsidR="00F81756" w:rsidRDefault="00F81756" w:rsidP="00F81756">
      <w:pPr>
        <w:rPr>
          <w:rFonts w:ascii="Garamond" w:hAnsi="Garamond"/>
          <w:sz w:val="24"/>
          <w:szCs w:val="24"/>
          <w:lang w:val="fr-FR"/>
        </w:rPr>
      </w:pPr>
      <w:r w:rsidRPr="00F81756">
        <w:rPr>
          <w:rFonts w:ascii="Garamond" w:hAnsi="Garamond"/>
          <w:sz w:val="24"/>
          <w:szCs w:val="24"/>
          <w:lang w:val="fr-FR"/>
        </w:rPr>
        <w:t xml:space="preserve">- Président des </w:t>
      </w:r>
      <w:r w:rsidRPr="00F81756">
        <w:rPr>
          <w:rFonts w:ascii="Garamond" w:hAnsi="Garamond"/>
          <w:i/>
          <w:sz w:val="24"/>
          <w:szCs w:val="24"/>
          <w:lang w:val="fr-FR"/>
        </w:rPr>
        <w:t>Amis de Bossuet</w:t>
      </w:r>
      <w:r w:rsidRPr="00F81756">
        <w:rPr>
          <w:rFonts w:ascii="Garamond" w:hAnsi="Garamond"/>
          <w:sz w:val="24"/>
          <w:szCs w:val="24"/>
          <w:lang w:val="fr-FR"/>
        </w:rPr>
        <w:t xml:space="preserve"> et directeur de la </w:t>
      </w:r>
      <w:r w:rsidRPr="00F81756">
        <w:rPr>
          <w:rFonts w:ascii="Garamond" w:hAnsi="Garamond"/>
          <w:i/>
          <w:sz w:val="24"/>
          <w:szCs w:val="24"/>
          <w:lang w:val="fr-FR"/>
        </w:rPr>
        <w:t>Revue Bossuet</w:t>
      </w:r>
      <w:r w:rsidRPr="00F81756">
        <w:rPr>
          <w:rFonts w:ascii="Garamond" w:hAnsi="Garamond"/>
          <w:sz w:val="24"/>
          <w:szCs w:val="24"/>
          <w:lang w:val="fr-FR"/>
        </w:rPr>
        <w:t xml:space="preserve"> (depuis 2015)</w:t>
      </w:r>
    </w:p>
    <w:p w14:paraId="1120D038" w14:textId="77777777" w:rsidR="002A5CF8" w:rsidRDefault="002A5CF8" w:rsidP="00F81756">
      <w:pPr>
        <w:rPr>
          <w:rFonts w:ascii="Garamond" w:hAnsi="Garamond"/>
          <w:sz w:val="24"/>
          <w:szCs w:val="24"/>
          <w:lang w:val="fr-FR"/>
        </w:rPr>
      </w:pPr>
    </w:p>
    <w:p w14:paraId="64B2BF20" w14:textId="25651E36" w:rsidR="0080243B" w:rsidRPr="0092599F" w:rsidRDefault="0080243B" w:rsidP="0092599F">
      <w:pPr>
        <w:jc w:val="center"/>
        <w:rPr>
          <w:rFonts w:ascii="Garamond" w:hAnsi="Garamond"/>
          <w:b/>
          <w:bCs/>
          <w:sz w:val="24"/>
          <w:szCs w:val="24"/>
          <w:lang w:val="fr-FR"/>
        </w:rPr>
      </w:pPr>
      <w:r w:rsidRPr="0092599F">
        <w:rPr>
          <w:rFonts w:ascii="Garamond" w:hAnsi="Garamond"/>
          <w:b/>
          <w:bCs/>
          <w:sz w:val="24"/>
          <w:szCs w:val="24"/>
          <w:lang w:val="fr-FR"/>
        </w:rPr>
        <w:t xml:space="preserve">Bibliographie </w:t>
      </w:r>
      <w:r w:rsidR="00EF73BB" w:rsidRPr="0092599F">
        <w:rPr>
          <w:rFonts w:ascii="Garamond" w:hAnsi="Garamond"/>
          <w:b/>
          <w:bCs/>
          <w:sz w:val="24"/>
          <w:szCs w:val="24"/>
          <w:lang w:val="fr-FR"/>
        </w:rPr>
        <w:t>(extrait)</w:t>
      </w:r>
    </w:p>
    <w:p w14:paraId="424D2E5A" w14:textId="5DEFDA48" w:rsidR="002A5CF8" w:rsidRPr="00577D26" w:rsidRDefault="002A5CF8" w:rsidP="002A5CF8">
      <w:pPr>
        <w:rPr>
          <w:rFonts w:ascii="Garamond" w:hAnsi="Garamond"/>
          <w:sz w:val="24"/>
          <w:szCs w:val="24"/>
          <w:u w:val="single"/>
          <w:lang w:val="fr-FR"/>
        </w:rPr>
      </w:pPr>
      <w:r w:rsidRPr="00577D26">
        <w:rPr>
          <w:rFonts w:ascii="Garamond" w:hAnsi="Garamond"/>
          <w:sz w:val="24"/>
          <w:szCs w:val="24"/>
          <w:u w:val="single"/>
          <w:lang w:val="fr-FR"/>
        </w:rPr>
        <w:t>I. Ouvrages individuels</w:t>
      </w:r>
    </w:p>
    <w:p w14:paraId="39EB7F96" w14:textId="0A2D4C1C" w:rsidR="002A5CF8" w:rsidRPr="002A5CF8" w:rsidRDefault="002A5CF8" w:rsidP="002A5CF8">
      <w:pPr>
        <w:rPr>
          <w:rFonts w:ascii="Garamond" w:hAnsi="Garamond"/>
          <w:sz w:val="24"/>
          <w:szCs w:val="24"/>
          <w:lang w:val="fr-FR"/>
        </w:rPr>
      </w:pPr>
      <w:r w:rsidRPr="002A5CF8">
        <w:rPr>
          <w:rFonts w:ascii="Garamond" w:hAnsi="Garamond"/>
          <w:sz w:val="24"/>
          <w:szCs w:val="24"/>
          <w:lang w:val="fr-FR"/>
        </w:rPr>
        <w:t xml:space="preserve">1. </w:t>
      </w:r>
      <w:r w:rsidRPr="002A5CF8">
        <w:rPr>
          <w:rFonts w:ascii="Garamond" w:hAnsi="Garamond"/>
          <w:i/>
          <w:sz w:val="24"/>
          <w:szCs w:val="24"/>
          <w:lang w:val="fr-FR"/>
        </w:rPr>
        <w:t>L'Œuvre de Pierre Charron. Littérature et théologie de Montaigne à Port-Royal</w:t>
      </w:r>
      <w:r w:rsidRPr="002A5CF8">
        <w:rPr>
          <w:rFonts w:ascii="Garamond" w:hAnsi="Garamond"/>
          <w:sz w:val="24"/>
          <w:szCs w:val="24"/>
          <w:lang w:val="fr-FR"/>
        </w:rPr>
        <w:t>, Paris, Champion, 1995. (360p.)</w:t>
      </w:r>
    </w:p>
    <w:p w14:paraId="4C1C748B" w14:textId="355AD396" w:rsidR="002A5CF8" w:rsidRPr="002A5CF8" w:rsidRDefault="002A5CF8" w:rsidP="002A5CF8">
      <w:pPr>
        <w:rPr>
          <w:rFonts w:ascii="Garamond" w:hAnsi="Garamond"/>
          <w:sz w:val="24"/>
          <w:szCs w:val="24"/>
          <w:lang w:val="fr-FR"/>
        </w:rPr>
      </w:pPr>
      <w:r w:rsidRPr="002A5CF8">
        <w:rPr>
          <w:rFonts w:ascii="Garamond" w:hAnsi="Garamond"/>
          <w:sz w:val="24"/>
          <w:szCs w:val="24"/>
          <w:lang w:val="fr-FR"/>
        </w:rPr>
        <w:t xml:space="preserve">2. Edition </w:t>
      </w:r>
      <w:r w:rsidRPr="002A5CF8">
        <w:rPr>
          <w:rFonts w:ascii="Garamond" w:hAnsi="Garamond"/>
          <w:i/>
          <w:sz w:val="24"/>
          <w:szCs w:val="24"/>
          <w:lang w:val="fr-FR"/>
        </w:rPr>
        <w:t>de L'Orphée chrétien ou Psaltérion à Dix Cordes</w:t>
      </w:r>
      <w:r w:rsidRPr="002A5CF8">
        <w:rPr>
          <w:rFonts w:ascii="Garamond" w:hAnsi="Garamond"/>
          <w:sz w:val="24"/>
          <w:szCs w:val="24"/>
          <w:lang w:val="fr-FR"/>
        </w:rPr>
        <w:t xml:space="preserve"> de Jean Boucher, Grenoble, J. Millon, 1997. (126p.)</w:t>
      </w:r>
    </w:p>
    <w:p w14:paraId="7AAFD6E7" w14:textId="77777777" w:rsidR="002A5CF8" w:rsidRPr="002A5CF8" w:rsidRDefault="002A5CF8" w:rsidP="002A5CF8">
      <w:pPr>
        <w:rPr>
          <w:rFonts w:ascii="Garamond" w:hAnsi="Garamond"/>
          <w:sz w:val="24"/>
          <w:szCs w:val="24"/>
          <w:lang w:val="fr-FR"/>
        </w:rPr>
      </w:pPr>
      <w:r w:rsidRPr="002A5CF8">
        <w:rPr>
          <w:rFonts w:ascii="Garamond" w:hAnsi="Garamond"/>
          <w:sz w:val="24"/>
          <w:szCs w:val="24"/>
          <w:lang w:val="fr-FR"/>
        </w:rPr>
        <w:t>3</w:t>
      </w:r>
      <w:r w:rsidRPr="002A5CF8">
        <w:rPr>
          <w:rFonts w:ascii="Garamond" w:hAnsi="Garamond"/>
          <w:i/>
          <w:sz w:val="24"/>
          <w:szCs w:val="24"/>
          <w:lang w:val="fr-FR"/>
        </w:rPr>
        <w:t>. La Conversation intérieure. La méditation au XVIIe siècle</w:t>
      </w:r>
      <w:r w:rsidRPr="002A5CF8">
        <w:rPr>
          <w:rFonts w:ascii="Garamond" w:hAnsi="Garamond"/>
          <w:sz w:val="24"/>
          <w:szCs w:val="24"/>
          <w:lang w:val="fr-FR"/>
        </w:rPr>
        <w:t xml:space="preserve">, Paris, Champion, 2002. </w:t>
      </w:r>
    </w:p>
    <w:p w14:paraId="5B1B6BCD" w14:textId="233D2984" w:rsidR="002A5CF8" w:rsidRPr="002A5CF8" w:rsidRDefault="002A5CF8" w:rsidP="002A5CF8">
      <w:pPr>
        <w:rPr>
          <w:rFonts w:ascii="Garamond" w:hAnsi="Garamond"/>
          <w:sz w:val="24"/>
          <w:szCs w:val="24"/>
          <w:lang w:val="fr-FR"/>
        </w:rPr>
      </w:pPr>
      <w:r w:rsidRPr="002A5CF8">
        <w:rPr>
          <w:rFonts w:ascii="Garamond" w:hAnsi="Garamond"/>
          <w:sz w:val="24"/>
          <w:szCs w:val="24"/>
          <w:lang w:val="fr-FR"/>
        </w:rPr>
        <w:t>Ouvrage couronné par l'Académie des Sciences morales et politiques de Paris (Institut de France) en novembre 2003. (422p)</w:t>
      </w:r>
    </w:p>
    <w:p w14:paraId="46038385" w14:textId="77777777" w:rsidR="002A5CF8" w:rsidRPr="002A5CF8" w:rsidRDefault="002A5CF8" w:rsidP="002A5CF8">
      <w:pPr>
        <w:rPr>
          <w:rFonts w:ascii="Garamond" w:hAnsi="Garamond"/>
          <w:sz w:val="24"/>
          <w:szCs w:val="24"/>
          <w:lang w:val="fr-FR"/>
        </w:rPr>
      </w:pPr>
      <w:r w:rsidRPr="002A5CF8">
        <w:rPr>
          <w:rFonts w:ascii="Garamond" w:hAnsi="Garamond"/>
          <w:sz w:val="24"/>
          <w:szCs w:val="24"/>
          <w:lang w:val="fr-FR"/>
        </w:rPr>
        <w:t xml:space="preserve">4. </w:t>
      </w:r>
      <w:r w:rsidRPr="002A5CF8">
        <w:rPr>
          <w:rFonts w:ascii="Garamond" w:hAnsi="Garamond"/>
          <w:i/>
          <w:sz w:val="24"/>
          <w:szCs w:val="24"/>
          <w:lang w:val="fr-FR"/>
        </w:rPr>
        <w:t>Le Corps pensant</w:t>
      </w:r>
      <w:r w:rsidRPr="002A5CF8">
        <w:rPr>
          <w:rFonts w:ascii="Garamond" w:hAnsi="Garamond"/>
          <w:sz w:val="24"/>
          <w:szCs w:val="24"/>
          <w:lang w:val="fr-FR"/>
        </w:rPr>
        <w:t xml:space="preserve">, Seuil, 2012 (366p.). </w:t>
      </w:r>
    </w:p>
    <w:p w14:paraId="20B7181F" w14:textId="13653940" w:rsidR="002A5CF8" w:rsidRPr="002A5CF8" w:rsidRDefault="002A5CF8" w:rsidP="002A5CF8">
      <w:pPr>
        <w:rPr>
          <w:rFonts w:ascii="Garamond" w:hAnsi="Garamond"/>
          <w:sz w:val="24"/>
          <w:szCs w:val="24"/>
          <w:lang w:val="fr-FR"/>
        </w:rPr>
      </w:pPr>
      <w:r w:rsidRPr="002A5CF8">
        <w:rPr>
          <w:rFonts w:ascii="Garamond" w:hAnsi="Garamond"/>
          <w:sz w:val="24"/>
          <w:szCs w:val="24"/>
          <w:lang w:val="fr-FR"/>
        </w:rPr>
        <w:t xml:space="preserve">Traduction portugaise : </w:t>
      </w:r>
      <w:r w:rsidRPr="002A5CF8">
        <w:rPr>
          <w:rFonts w:ascii="Garamond" w:hAnsi="Garamond"/>
          <w:i/>
          <w:sz w:val="24"/>
          <w:szCs w:val="24"/>
          <w:lang w:val="fr-FR"/>
        </w:rPr>
        <w:t>O Corpo pensante</w:t>
      </w:r>
      <w:r w:rsidRPr="002A5CF8">
        <w:rPr>
          <w:rFonts w:ascii="Garamond" w:hAnsi="Garamond"/>
          <w:sz w:val="24"/>
          <w:szCs w:val="24"/>
          <w:lang w:val="fr-FR"/>
        </w:rPr>
        <w:t>, Forense Universitaria, Rio de Janeiro, 2014.</w:t>
      </w:r>
    </w:p>
    <w:p w14:paraId="2B251370" w14:textId="77777777" w:rsidR="002A5CF8" w:rsidRPr="00577D26" w:rsidRDefault="002A5CF8" w:rsidP="002A5CF8">
      <w:pPr>
        <w:rPr>
          <w:rFonts w:ascii="Garamond" w:hAnsi="Garamond"/>
          <w:sz w:val="24"/>
          <w:szCs w:val="24"/>
          <w:lang w:val="fr-FR"/>
        </w:rPr>
      </w:pPr>
      <w:r w:rsidRPr="002A5CF8">
        <w:rPr>
          <w:rFonts w:ascii="Garamond" w:hAnsi="Garamond"/>
          <w:sz w:val="24"/>
          <w:szCs w:val="24"/>
          <w:lang w:val="fr-FR"/>
        </w:rPr>
        <w:t xml:space="preserve">5. </w:t>
      </w:r>
      <w:r w:rsidRPr="002A5CF8">
        <w:rPr>
          <w:rFonts w:ascii="Garamond" w:hAnsi="Garamond"/>
          <w:i/>
          <w:sz w:val="24"/>
          <w:szCs w:val="24"/>
          <w:lang w:val="fr-FR"/>
        </w:rPr>
        <w:t>Traité du pur amour</w:t>
      </w:r>
      <w:r w:rsidRPr="002A5CF8">
        <w:rPr>
          <w:rFonts w:ascii="Garamond" w:hAnsi="Garamond"/>
          <w:sz w:val="24"/>
          <w:szCs w:val="24"/>
          <w:lang w:val="fr-FR"/>
        </w:rPr>
        <w:t xml:space="preserve"> de Paulin d’Aumale, introduction, édition et commentaires, Grenoble, Jérôme Millon, 2015. </w:t>
      </w:r>
      <w:r w:rsidRPr="00577D26">
        <w:rPr>
          <w:rFonts w:ascii="Garamond" w:hAnsi="Garamond"/>
          <w:sz w:val="24"/>
          <w:szCs w:val="24"/>
          <w:lang w:val="fr-FR"/>
        </w:rPr>
        <w:t xml:space="preserve">(148p.) </w:t>
      </w:r>
    </w:p>
    <w:p w14:paraId="7CF38811" w14:textId="77777777" w:rsidR="0017625C" w:rsidRPr="00577D26" w:rsidRDefault="0017625C" w:rsidP="002A5CF8">
      <w:pPr>
        <w:rPr>
          <w:rFonts w:ascii="Garamond" w:hAnsi="Garamond"/>
          <w:sz w:val="24"/>
          <w:szCs w:val="24"/>
          <w:lang w:val="fr-FR"/>
        </w:rPr>
      </w:pPr>
    </w:p>
    <w:p w14:paraId="3BAB60FF" w14:textId="0AF1FA9C" w:rsidR="0017625C" w:rsidRPr="00577D26" w:rsidRDefault="0017625C" w:rsidP="0017625C">
      <w:pPr>
        <w:rPr>
          <w:rFonts w:ascii="Garamond" w:hAnsi="Garamond"/>
          <w:sz w:val="24"/>
          <w:szCs w:val="24"/>
          <w:u w:val="single"/>
          <w:lang w:val="fr-FR"/>
        </w:rPr>
      </w:pPr>
      <w:r w:rsidRPr="00577D26">
        <w:rPr>
          <w:rFonts w:ascii="Garamond" w:hAnsi="Garamond"/>
          <w:sz w:val="24"/>
          <w:szCs w:val="24"/>
          <w:u w:val="single"/>
          <w:lang w:val="fr-FR"/>
        </w:rPr>
        <w:t>II. Ouvrages collectifs</w:t>
      </w:r>
    </w:p>
    <w:p w14:paraId="455A8C84" w14:textId="77777777" w:rsidR="00577D26" w:rsidRDefault="0017625C" w:rsidP="0017625C">
      <w:pPr>
        <w:rPr>
          <w:rFonts w:ascii="Garamond" w:hAnsi="Garamond"/>
          <w:sz w:val="24"/>
          <w:szCs w:val="24"/>
          <w:lang w:val="fr-FR"/>
        </w:rPr>
      </w:pPr>
      <w:r w:rsidRPr="0017625C">
        <w:rPr>
          <w:rFonts w:ascii="Garamond" w:hAnsi="Garamond"/>
          <w:sz w:val="24"/>
          <w:szCs w:val="24"/>
          <w:lang w:val="fr-FR"/>
        </w:rPr>
        <w:t xml:space="preserve">6. Edition et préface de l'ouvrage collectif, </w:t>
      </w:r>
      <w:r w:rsidRPr="0017625C">
        <w:rPr>
          <w:rFonts w:ascii="Garamond" w:hAnsi="Garamond"/>
          <w:i/>
          <w:sz w:val="24"/>
          <w:szCs w:val="24"/>
          <w:lang w:val="fr-FR"/>
        </w:rPr>
        <w:t>La méditation au XVIIe siècle. Rhétorique, art, spiritualité</w:t>
      </w:r>
      <w:r w:rsidRPr="0017625C">
        <w:rPr>
          <w:rFonts w:ascii="Garamond" w:hAnsi="Garamond"/>
          <w:sz w:val="24"/>
          <w:szCs w:val="24"/>
          <w:lang w:val="fr-FR"/>
        </w:rPr>
        <w:t>, Paris, Champion, 2006. (271p.)</w:t>
      </w:r>
    </w:p>
    <w:p w14:paraId="4C8176B8" w14:textId="20A5DA2B" w:rsidR="0017625C" w:rsidRPr="0017625C" w:rsidRDefault="0017625C" w:rsidP="0017625C">
      <w:pPr>
        <w:rPr>
          <w:rFonts w:ascii="Garamond" w:hAnsi="Garamond"/>
          <w:sz w:val="24"/>
          <w:szCs w:val="24"/>
          <w:lang w:val="fr-FR"/>
        </w:rPr>
      </w:pPr>
      <w:r w:rsidRPr="0017625C">
        <w:rPr>
          <w:rFonts w:ascii="Garamond" w:hAnsi="Garamond"/>
          <w:sz w:val="24"/>
          <w:szCs w:val="24"/>
          <w:lang w:val="fr-FR"/>
        </w:rPr>
        <w:t xml:space="preserve">7. Edition de l’ouvrage collectif (avec G. Bedouelle et S. de Reyff) </w:t>
      </w:r>
      <w:r w:rsidRPr="0017625C">
        <w:rPr>
          <w:rFonts w:ascii="Garamond" w:hAnsi="Garamond"/>
          <w:i/>
          <w:sz w:val="24"/>
          <w:szCs w:val="24"/>
          <w:lang w:val="fr-FR"/>
        </w:rPr>
        <w:t>L’Art de la tradition</w:t>
      </w:r>
      <w:r w:rsidRPr="0017625C">
        <w:rPr>
          <w:rFonts w:ascii="Garamond" w:hAnsi="Garamond"/>
          <w:sz w:val="24"/>
          <w:szCs w:val="24"/>
          <w:lang w:val="fr-FR"/>
        </w:rPr>
        <w:t xml:space="preserve">, Academic Press Fribourg, </w:t>
      </w:r>
      <w:r w:rsidRPr="0017625C">
        <w:rPr>
          <w:rFonts w:ascii="Garamond" w:hAnsi="Garamond"/>
          <w:i/>
          <w:sz w:val="24"/>
          <w:szCs w:val="24"/>
          <w:lang w:val="fr-FR"/>
        </w:rPr>
        <w:t>Studia Friburgensia</w:t>
      </w:r>
      <w:r w:rsidRPr="0017625C">
        <w:rPr>
          <w:rFonts w:ascii="Garamond" w:hAnsi="Garamond"/>
          <w:sz w:val="24"/>
          <w:szCs w:val="24"/>
          <w:lang w:val="fr-FR"/>
        </w:rPr>
        <w:t>, series historica 3, 2005. (275p.)</w:t>
      </w:r>
    </w:p>
    <w:p w14:paraId="2B20108A" w14:textId="426260FE" w:rsidR="0017625C" w:rsidRPr="0017625C" w:rsidRDefault="0017625C" w:rsidP="0017625C">
      <w:pPr>
        <w:rPr>
          <w:rFonts w:ascii="Garamond" w:hAnsi="Garamond"/>
          <w:sz w:val="24"/>
          <w:szCs w:val="24"/>
          <w:lang w:val="fr-FR"/>
        </w:rPr>
      </w:pPr>
      <w:r w:rsidRPr="0017625C">
        <w:rPr>
          <w:rFonts w:ascii="Garamond" w:hAnsi="Garamond"/>
          <w:sz w:val="24"/>
          <w:szCs w:val="24"/>
          <w:lang w:val="fr-FR"/>
        </w:rPr>
        <w:t xml:space="preserve">8. Edition et préface de l’ouvrage collectif (avec G. Bedouelle et S. de Reyff) </w:t>
      </w:r>
      <w:r w:rsidRPr="0017625C">
        <w:rPr>
          <w:rFonts w:ascii="Garamond" w:hAnsi="Garamond"/>
          <w:i/>
          <w:sz w:val="24"/>
          <w:szCs w:val="24"/>
          <w:lang w:val="fr-FR"/>
        </w:rPr>
        <w:t>La Tradition rassemblée</w:t>
      </w:r>
      <w:r w:rsidRPr="0017625C">
        <w:rPr>
          <w:rFonts w:ascii="Garamond" w:hAnsi="Garamond"/>
          <w:sz w:val="24"/>
          <w:szCs w:val="24"/>
          <w:lang w:val="fr-FR"/>
        </w:rPr>
        <w:t xml:space="preserve">, Academic Press Fribourg, </w:t>
      </w:r>
      <w:r w:rsidRPr="0017625C">
        <w:rPr>
          <w:rFonts w:ascii="Garamond" w:hAnsi="Garamond"/>
          <w:i/>
          <w:sz w:val="24"/>
          <w:szCs w:val="24"/>
          <w:lang w:val="fr-FR"/>
        </w:rPr>
        <w:t>Studia Friburgensia</w:t>
      </w:r>
      <w:r w:rsidRPr="0017625C">
        <w:rPr>
          <w:rFonts w:ascii="Garamond" w:hAnsi="Garamond"/>
          <w:sz w:val="24"/>
          <w:szCs w:val="24"/>
          <w:lang w:val="fr-FR"/>
        </w:rPr>
        <w:t>, series historica 5, 2007. (428p.)</w:t>
      </w:r>
    </w:p>
    <w:p w14:paraId="08273702" w14:textId="77777777" w:rsidR="0017625C" w:rsidRPr="00577D26" w:rsidRDefault="0017625C" w:rsidP="0017625C">
      <w:pPr>
        <w:rPr>
          <w:rFonts w:ascii="Garamond" w:hAnsi="Garamond"/>
          <w:sz w:val="24"/>
          <w:szCs w:val="24"/>
          <w:lang w:val="fr-FR"/>
        </w:rPr>
      </w:pPr>
      <w:r w:rsidRPr="0017625C">
        <w:rPr>
          <w:rFonts w:ascii="Garamond" w:hAnsi="Garamond"/>
          <w:sz w:val="24"/>
          <w:szCs w:val="24"/>
          <w:lang w:val="fr-FR"/>
        </w:rPr>
        <w:t>9. Edition et postface de l’ouvrage collectif (avec G. Bedouelle et S. de Reyff)</w:t>
      </w:r>
      <w:r w:rsidRPr="0017625C">
        <w:rPr>
          <w:rFonts w:ascii="Garamond" w:hAnsi="Garamond"/>
          <w:i/>
          <w:sz w:val="24"/>
          <w:szCs w:val="24"/>
          <w:lang w:val="fr-FR"/>
        </w:rPr>
        <w:t xml:space="preserve"> La Tradition du savoir,</w:t>
      </w:r>
      <w:r w:rsidRPr="0017625C">
        <w:rPr>
          <w:rFonts w:ascii="Garamond" w:hAnsi="Garamond"/>
          <w:sz w:val="24"/>
          <w:szCs w:val="24"/>
          <w:lang w:val="fr-FR"/>
        </w:rPr>
        <w:t xml:space="preserve"> Academix Press Fribourg, Series historica 8, 2011. </w:t>
      </w:r>
      <w:r w:rsidRPr="00577D26">
        <w:rPr>
          <w:rFonts w:ascii="Garamond" w:hAnsi="Garamond"/>
          <w:sz w:val="24"/>
          <w:szCs w:val="24"/>
          <w:lang w:val="fr-FR"/>
        </w:rPr>
        <w:t>(406p.)</w:t>
      </w:r>
    </w:p>
    <w:p w14:paraId="1D915A21" w14:textId="77777777" w:rsidR="0017625C" w:rsidRPr="00577D26" w:rsidRDefault="0017625C" w:rsidP="002A5CF8">
      <w:pPr>
        <w:rPr>
          <w:rFonts w:ascii="Garamond" w:hAnsi="Garamond"/>
          <w:sz w:val="24"/>
          <w:szCs w:val="24"/>
          <w:lang w:val="fr-FR"/>
        </w:rPr>
      </w:pPr>
    </w:p>
    <w:p w14:paraId="4DDAEF18" w14:textId="1FC44401" w:rsidR="00EA6F07" w:rsidRPr="00577D26" w:rsidRDefault="00EA6F07" w:rsidP="00EA6F07">
      <w:pPr>
        <w:rPr>
          <w:rFonts w:ascii="Garamond" w:hAnsi="Garamond"/>
          <w:sz w:val="24"/>
          <w:szCs w:val="24"/>
          <w:u w:val="single"/>
          <w:lang w:val="fr-FR"/>
        </w:rPr>
      </w:pPr>
      <w:r w:rsidRPr="00577D26">
        <w:rPr>
          <w:rFonts w:ascii="Garamond" w:hAnsi="Garamond"/>
          <w:sz w:val="24"/>
          <w:szCs w:val="24"/>
          <w:u w:val="single"/>
          <w:lang w:val="fr-FR"/>
        </w:rPr>
        <w:t>III. Chapitres d’ouvrages</w:t>
      </w:r>
      <w:r w:rsidR="0080243B" w:rsidRPr="00577D26">
        <w:rPr>
          <w:rFonts w:ascii="Garamond" w:hAnsi="Garamond"/>
          <w:sz w:val="24"/>
          <w:szCs w:val="24"/>
          <w:u w:val="single"/>
          <w:lang w:val="fr-FR"/>
        </w:rPr>
        <w:t xml:space="preserve"> (sélection)</w:t>
      </w:r>
    </w:p>
    <w:p w14:paraId="2F671A43" w14:textId="440DEB3D" w:rsidR="00B73ADC" w:rsidRPr="00B73ADC" w:rsidRDefault="00B73ADC" w:rsidP="00B73ADC">
      <w:pPr>
        <w:rPr>
          <w:rFonts w:ascii="Garamond" w:hAnsi="Garamond"/>
          <w:sz w:val="24"/>
          <w:szCs w:val="24"/>
          <w:lang w:val="fr-FR"/>
        </w:rPr>
      </w:pPr>
      <w:r w:rsidRPr="00B73ADC">
        <w:rPr>
          <w:rFonts w:ascii="Garamond" w:hAnsi="Garamond"/>
          <w:sz w:val="24"/>
          <w:szCs w:val="24"/>
          <w:lang w:val="fr-FR"/>
        </w:rPr>
        <w:t xml:space="preserve">12. « L'éther et le cristal : comment théoriser la transparence au XVIIe siècle ? », </w:t>
      </w:r>
      <w:r w:rsidRPr="00B73ADC">
        <w:rPr>
          <w:rFonts w:ascii="Garamond" w:hAnsi="Garamond"/>
          <w:i/>
          <w:sz w:val="24"/>
          <w:szCs w:val="24"/>
          <w:lang w:val="fr-FR"/>
        </w:rPr>
        <w:t>L’Artiste et le philosophe. L’histoire de l’art à l’épreuve de la philosophie au XVIIe siècle</w:t>
      </w:r>
      <w:r w:rsidRPr="00B73ADC">
        <w:rPr>
          <w:rFonts w:ascii="Garamond" w:hAnsi="Garamond"/>
          <w:sz w:val="24"/>
          <w:szCs w:val="24"/>
          <w:lang w:val="fr-FR"/>
        </w:rPr>
        <w:t xml:space="preserve">, INHA, Presses Universitaires de Rennes, 2011, p.321-334. </w:t>
      </w:r>
    </w:p>
    <w:p w14:paraId="48676FAD" w14:textId="77777777" w:rsidR="002A5CF8" w:rsidRPr="00B73ADC" w:rsidRDefault="002A5CF8" w:rsidP="002A5CF8">
      <w:pPr>
        <w:rPr>
          <w:rFonts w:ascii="Garamond" w:hAnsi="Garamond"/>
          <w:sz w:val="24"/>
          <w:szCs w:val="24"/>
          <w:lang w:val="fr-FR"/>
        </w:rPr>
      </w:pPr>
    </w:p>
    <w:p w14:paraId="3C6BA812" w14:textId="6DCD22F2" w:rsidR="00021696" w:rsidRPr="00577D26" w:rsidRDefault="0080243B" w:rsidP="00F81756">
      <w:pPr>
        <w:rPr>
          <w:rFonts w:ascii="Garamond" w:hAnsi="Garamond"/>
          <w:sz w:val="24"/>
          <w:szCs w:val="24"/>
          <w:u w:val="single"/>
          <w:lang w:val="fr-FR"/>
        </w:rPr>
      </w:pPr>
      <w:r w:rsidRPr="00577D26">
        <w:rPr>
          <w:rFonts w:ascii="Garamond" w:hAnsi="Garamond"/>
          <w:sz w:val="24"/>
          <w:szCs w:val="24"/>
          <w:u w:val="single"/>
          <w:lang w:val="fr-FR"/>
        </w:rPr>
        <w:t xml:space="preserve">IV. </w:t>
      </w:r>
      <w:r w:rsidR="00021696" w:rsidRPr="00577D26">
        <w:rPr>
          <w:rFonts w:ascii="Garamond" w:hAnsi="Garamond"/>
          <w:sz w:val="24"/>
          <w:szCs w:val="24"/>
          <w:u w:val="single"/>
          <w:lang w:val="fr-FR"/>
        </w:rPr>
        <w:t>Articles</w:t>
      </w:r>
      <w:r w:rsidR="00E74585" w:rsidRPr="00577D26">
        <w:rPr>
          <w:rFonts w:ascii="Garamond" w:hAnsi="Garamond"/>
          <w:sz w:val="24"/>
          <w:szCs w:val="24"/>
          <w:u w:val="single"/>
          <w:lang w:val="fr-FR"/>
        </w:rPr>
        <w:t xml:space="preserve"> </w:t>
      </w:r>
      <w:r w:rsidR="004B34E3" w:rsidRPr="00577D26">
        <w:rPr>
          <w:rFonts w:ascii="Garamond" w:hAnsi="Garamond"/>
          <w:sz w:val="24"/>
          <w:szCs w:val="24"/>
          <w:u w:val="single"/>
          <w:lang w:val="fr-FR"/>
        </w:rPr>
        <w:t xml:space="preserve">sur la tradition, l’image </w:t>
      </w:r>
      <w:r w:rsidR="001D0584" w:rsidRPr="00577D26">
        <w:rPr>
          <w:rFonts w:ascii="Garamond" w:hAnsi="Garamond"/>
          <w:sz w:val="24"/>
          <w:szCs w:val="24"/>
          <w:u w:val="single"/>
          <w:lang w:val="fr-FR"/>
        </w:rPr>
        <w:t xml:space="preserve">ou des </w:t>
      </w:r>
      <w:r w:rsidR="00374401" w:rsidRPr="00577D26">
        <w:rPr>
          <w:rFonts w:ascii="Garamond" w:hAnsi="Garamond"/>
          <w:sz w:val="24"/>
          <w:szCs w:val="24"/>
          <w:u w:val="single"/>
          <w:lang w:val="fr-FR"/>
        </w:rPr>
        <w:t>écrits non religieux</w:t>
      </w:r>
    </w:p>
    <w:p w14:paraId="37E037C5" w14:textId="0DC60E4F" w:rsidR="00983F53" w:rsidRPr="00BF5D1A" w:rsidRDefault="00BF5D1A" w:rsidP="00983F53">
      <w:pPr>
        <w:rPr>
          <w:rFonts w:ascii="Garamond" w:hAnsi="Garamond"/>
          <w:sz w:val="24"/>
          <w:szCs w:val="24"/>
          <w:lang w:val="fr-FR"/>
        </w:rPr>
      </w:pPr>
      <w:r w:rsidRPr="00BF5D1A">
        <w:rPr>
          <w:rFonts w:ascii="Garamond" w:hAnsi="Garamond"/>
          <w:sz w:val="24"/>
          <w:szCs w:val="24"/>
          <w:lang w:val="fr-FR"/>
        </w:rPr>
        <w:t xml:space="preserve">4. </w:t>
      </w:r>
      <w:r w:rsidR="00021696" w:rsidRPr="00021696">
        <w:rPr>
          <w:rFonts w:ascii="Garamond" w:hAnsi="Garamond"/>
          <w:sz w:val="24"/>
          <w:szCs w:val="24"/>
          <w:lang w:val="fr-FR"/>
        </w:rPr>
        <w:t xml:space="preserve">« Regard augustinien sur le théâtre de Racine », </w:t>
      </w:r>
      <w:r w:rsidR="00021696" w:rsidRPr="00021696">
        <w:rPr>
          <w:rFonts w:ascii="Garamond" w:hAnsi="Garamond"/>
          <w:i/>
          <w:sz w:val="24"/>
          <w:szCs w:val="24"/>
          <w:lang w:val="fr-FR"/>
        </w:rPr>
        <w:t>Le Français dans tous ses états</w:t>
      </w:r>
      <w:r w:rsidR="00021696" w:rsidRPr="00021696">
        <w:rPr>
          <w:rFonts w:ascii="Garamond" w:hAnsi="Garamond"/>
          <w:sz w:val="24"/>
          <w:szCs w:val="24"/>
          <w:lang w:val="fr-FR"/>
        </w:rPr>
        <w:t>, n°32, CRDP Languedoc-Roussillon, 1996, pp.27-33.</w:t>
      </w:r>
    </w:p>
    <w:p w14:paraId="46AEA779" w14:textId="043E6A5D" w:rsidR="00440FA2" w:rsidRPr="00577D26" w:rsidRDefault="00983F53" w:rsidP="00440FA2">
      <w:pPr>
        <w:rPr>
          <w:rFonts w:ascii="Garamond" w:hAnsi="Garamond" w:hint="eastAsia"/>
          <w:sz w:val="24"/>
          <w:szCs w:val="24"/>
          <w:lang w:val="fr-FR"/>
        </w:rPr>
      </w:pPr>
      <w:r w:rsidRPr="00983F53">
        <w:rPr>
          <w:rFonts w:ascii="Garamond" w:hAnsi="Garamond"/>
          <w:sz w:val="24"/>
          <w:szCs w:val="24"/>
          <w:lang w:val="fr-FR"/>
        </w:rPr>
        <w:t xml:space="preserve">12. « La figure du roi pénitent dans les </w:t>
      </w:r>
      <w:r w:rsidRPr="00983F53">
        <w:rPr>
          <w:rFonts w:ascii="Garamond" w:hAnsi="Garamond"/>
          <w:i/>
          <w:sz w:val="24"/>
          <w:szCs w:val="24"/>
          <w:lang w:val="fr-FR"/>
        </w:rPr>
        <w:t>Tableaux de la Pénitence</w:t>
      </w:r>
      <w:r w:rsidRPr="00983F53">
        <w:rPr>
          <w:rFonts w:ascii="Garamond" w:hAnsi="Garamond"/>
          <w:sz w:val="24"/>
          <w:szCs w:val="24"/>
          <w:lang w:val="fr-FR"/>
        </w:rPr>
        <w:t xml:space="preserve"> d'Antoine Godeau », </w:t>
      </w:r>
      <w:r w:rsidRPr="00983F53">
        <w:rPr>
          <w:rFonts w:ascii="Garamond" w:hAnsi="Garamond"/>
          <w:i/>
          <w:sz w:val="24"/>
          <w:szCs w:val="24"/>
          <w:lang w:val="fr-FR"/>
        </w:rPr>
        <w:t>Mélanges offerts à M. Philippe Sellier</w:t>
      </w:r>
      <w:r w:rsidRPr="00983F53">
        <w:rPr>
          <w:rFonts w:ascii="Garamond" w:hAnsi="Garamond"/>
          <w:sz w:val="24"/>
          <w:szCs w:val="24"/>
          <w:lang w:val="fr-FR"/>
        </w:rPr>
        <w:t>, Paris, Champion, 2001.</w:t>
      </w:r>
    </w:p>
    <w:p w14:paraId="187C6D63" w14:textId="18AD05AC" w:rsidR="00440FA2" w:rsidRPr="00440FA2" w:rsidRDefault="00440FA2" w:rsidP="00440FA2">
      <w:pPr>
        <w:rPr>
          <w:rFonts w:ascii="Garamond" w:hAnsi="Garamond"/>
          <w:sz w:val="24"/>
          <w:szCs w:val="24"/>
          <w:lang w:val="fr-FR"/>
        </w:rPr>
      </w:pPr>
      <w:r w:rsidRPr="00440FA2">
        <w:rPr>
          <w:rFonts w:ascii="Garamond" w:hAnsi="Garamond"/>
          <w:sz w:val="24"/>
          <w:szCs w:val="24"/>
          <w:lang w:val="fr-FR"/>
        </w:rPr>
        <w:t xml:space="preserve">18. « La tradition fontaine de jouvence : un paradoxe culturel au XVIIe siècle », </w:t>
      </w:r>
      <w:r w:rsidRPr="00440FA2">
        <w:rPr>
          <w:rFonts w:ascii="Garamond" w:hAnsi="Garamond"/>
          <w:i/>
          <w:sz w:val="24"/>
          <w:szCs w:val="24"/>
          <w:lang w:val="fr-FR"/>
        </w:rPr>
        <w:t>L'art de la tradition</w:t>
      </w:r>
      <w:r w:rsidRPr="00440FA2">
        <w:rPr>
          <w:rFonts w:ascii="Garamond" w:hAnsi="Garamond"/>
          <w:sz w:val="24"/>
          <w:szCs w:val="24"/>
          <w:lang w:val="fr-FR"/>
        </w:rPr>
        <w:t>, Studia Friburgensia, Series historica 3, Actes rassemblés par Guy Bedouelle, Christian Belin et Simone de Reyff, Academic Press Fribourg, 2005, pp. 29-44.</w:t>
      </w:r>
    </w:p>
    <w:p w14:paraId="749A31EB" w14:textId="40BF536D" w:rsidR="003A314A" w:rsidRPr="003A314A" w:rsidRDefault="003A314A" w:rsidP="003A314A">
      <w:pPr>
        <w:rPr>
          <w:rFonts w:ascii="Garamond" w:hAnsi="Garamond"/>
          <w:sz w:val="24"/>
          <w:szCs w:val="24"/>
          <w:lang w:val="fr-FR"/>
        </w:rPr>
      </w:pPr>
      <w:r w:rsidRPr="003A314A">
        <w:rPr>
          <w:rFonts w:ascii="Garamond" w:hAnsi="Garamond"/>
          <w:sz w:val="24"/>
          <w:szCs w:val="24"/>
          <w:lang w:val="fr-FR"/>
        </w:rPr>
        <w:t xml:space="preserve">26. « De Vaux à Versailles : le </w:t>
      </w:r>
      <w:r w:rsidRPr="003A314A">
        <w:rPr>
          <w:rFonts w:ascii="Garamond" w:hAnsi="Garamond"/>
          <w:i/>
          <w:sz w:val="24"/>
          <w:szCs w:val="24"/>
          <w:lang w:val="fr-FR"/>
        </w:rPr>
        <w:t>museum</w:t>
      </w:r>
      <w:r w:rsidRPr="003A314A">
        <w:rPr>
          <w:rFonts w:ascii="Garamond" w:hAnsi="Garamond"/>
          <w:sz w:val="24"/>
          <w:szCs w:val="24"/>
          <w:lang w:val="fr-FR"/>
        </w:rPr>
        <w:t xml:space="preserve"> de La Fontaine », </w:t>
      </w:r>
      <w:r w:rsidRPr="003A314A">
        <w:rPr>
          <w:rFonts w:ascii="Garamond" w:hAnsi="Garamond"/>
          <w:i/>
          <w:sz w:val="24"/>
          <w:szCs w:val="24"/>
          <w:lang w:val="fr-FR"/>
        </w:rPr>
        <w:t>La Tradition rassemblée, Studia Friburgensia</w:t>
      </w:r>
      <w:r w:rsidRPr="003A314A">
        <w:rPr>
          <w:rFonts w:ascii="Garamond" w:hAnsi="Garamond"/>
          <w:sz w:val="24"/>
          <w:szCs w:val="24"/>
          <w:lang w:val="fr-FR"/>
        </w:rPr>
        <w:t xml:space="preserve">, Academic Press </w:t>
      </w:r>
      <w:r w:rsidRPr="003A314A">
        <w:rPr>
          <w:rFonts w:ascii="Garamond" w:hAnsi="Garamond"/>
          <w:sz w:val="24"/>
          <w:szCs w:val="24"/>
          <w:lang w:val="fr-FR"/>
        </w:rPr>
        <w:lastRenderedPageBreak/>
        <w:t xml:space="preserve">Fribourg, 2007, p.367-375. </w:t>
      </w:r>
    </w:p>
    <w:p w14:paraId="28CE7CF1" w14:textId="51EB4951" w:rsidR="00104491" w:rsidRPr="00104491" w:rsidRDefault="00104491" w:rsidP="00104491">
      <w:pPr>
        <w:rPr>
          <w:rFonts w:ascii="Garamond" w:hAnsi="Garamond"/>
          <w:sz w:val="24"/>
          <w:szCs w:val="24"/>
          <w:lang w:val="fr-FR"/>
        </w:rPr>
      </w:pPr>
      <w:r w:rsidRPr="00104491">
        <w:rPr>
          <w:rFonts w:ascii="Garamond" w:hAnsi="Garamond"/>
          <w:sz w:val="24"/>
          <w:szCs w:val="24"/>
          <w:lang w:val="fr-FR"/>
        </w:rPr>
        <w:t xml:space="preserve">40. « Eloge des ânes : le magistère libertin chez La Mothe Le Vayer », </w:t>
      </w:r>
      <w:r w:rsidRPr="00104491">
        <w:rPr>
          <w:rFonts w:ascii="Garamond" w:hAnsi="Garamond"/>
          <w:i/>
          <w:sz w:val="24"/>
          <w:szCs w:val="24"/>
          <w:lang w:val="fr-FR"/>
        </w:rPr>
        <w:t>La Tradition du savoir,</w:t>
      </w:r>
      <w:r w:rsidRPr="00104491">
        <w:rPr>
          <w:rFonts w:ascii="Garamond" w:hAnsi="Garamond"/>
          <w:sz w:val="24"/>
          <w:szCs w:val="24"/>
          <w:lang w:val="fr-FR"/>
        </w:rPr>
        <w:t xml:space="preserve"> Academic Press Fribourg, Series historica 8, 2011, 297-308. </w:t>
      </w:r>
    </w:p>
    <w:p w14:paraId="79150EA8" w14:textId="39600BB9" w:rsidR="00983F53" w:rsidRDefault="000A0133" w:rsidP="00F81756">
      <w:pPr>
        <w:rPr>
          <w:rFonts w:ascii="Garamond" w:hAnsi="Garamond"/>
          <w:sz w:val="24"/>
          <w:szCs w:val="24"/>
          <w:lang w:val="fr-FR"/>
        </w:rPr>
      </w:pPr>
      <w:r w:rsidRPr="000A0133">
        <w:rPr>
          <w:rFonts w:ascii="Garamond" w:hAnsi="Garamond"/>
          <w:sz w:val="24"/>
          <w:szCs w:val="24"/>
          <w:lang w:val="fr-FR"/>
        </w:rPr>
        <w:t xml:space="preserve">48. « Le jardin des Académies ; un enjeu de la tradition humaniste », </w:t>
      </w:r>
      <w:r w:rsidRPr="000A0133">
        <w:rPr>
          <w:rFonts w:ascii="Garamond" w:hAnsi="Garamond"/>
          <w:i/>
          <w:sz w:val="24"/>
          <w:szCs w:val="24"/>
          <w:lang w:val="fr-FR"/>
        </w:rPr>
        <w:t>Bulletin de l’Académie des sciences et des lettres de Montpellier</w:t>
      </w:r>
      <w:r w:rsidRPr="000A0133">
        <w:rPr>
          <w:rFonts w:ascii="Garamond" w:hAnsi="Garamond"/>
          <w:sz w:val="24"/>
          <w:szCs w:val="24"/>
          <w:lang w:val="fr-FR"/>
        </w:rPr>
        <w:t xml:space="preserve">, Tome 43, 2012, p.413-420. </w:t>
      </w:r>
    </w:p>
    <w:p w14:paraId="6055E3BA" w14:textId="6B1F4083" w:rsidR="00397F33" w:rsidRPr="00397F33" w:rsidRDefault="00397F33" w:rsidP="00397F33">
      <w:pPr>
        <w:rPr>
          <w:rFonts w:ascii="Garamond" w:hAnsi="Garamond"/>
          <w:sz w:val="24"/>
          <w:szCs w:val="24"/>
          <w:lang w:val="fr-FR"/>
        </w:rPr>
      </w:pPr>
      <w:r w:rsidRPr="00397F33">
        <w:rPr>
          <w:rFonts w:ascii="Garamond" w:hAnsi="Garamond"/>
          <w:sz w:val="24"/>
          <w:szCs w:val="24"/>
          <w:lang w:val="fr-FR"/>
        </w:rPr>
        <w:t xml:space="preserve">66. « Nature et naturel dans les </w:t>
      </w:r>
      <w:r w:rsidRPr="00397F33">
        <w:rPr>
          <w:rFonts w:ascii="Garamond" w:hAnsi="Garamond"/>
          <w:i/>
          <w:sz w:val="24"/>
          <w:szCs w:val="24"/>
          <w:lang w:val="fr-FR"/>
        </w:rPr>
        <w:t>Fables</w:t>
      </w:r>
      <w:r w:rsidRPr="00397F33">
        <w:rPr>
          <w:rFonts w:ascii="Garamond" w:hAnsi="Garamond"/>
          <w:sz w:val="24"/>
          <w:szCs w:val="24"/>
          <w:lang w:val="fr-FR"/>
        </w:rPr>
        <w:t xml:space="preserve"> de La Fontaine : un écosystème insolite », article pour la revue </w:t>
      </w:r>
      <w:r w:rsidRPr="00397F33">
        <w:rPr>
          <w:rFonts w:ascii="Garamond" w:hAnsi="Garamond"/>
          <w:i/>
          <w:sz w:val="24"/>
          <w:szCs w:val="24"/>
          <w:lang w:val="fr-FR"/>
        </w:rPr>
        <w:t>Pierre d’angle</w:t>
      </w:r>
      <w:r w:rsidRPr="00397F33">
        <w:rPr>
          <w:rFonts w:ascii="Garamond" w:hAnsi="Garamond"/>
          <w:sz w:val="24"/>
          <w:szCs w:val="24"/>
          <w:lang w:val="fr-FR"/>
        </w:rPr>
        <w:t>.</w:t>
      </w:r>
    </w:p>
    <w:p w14:paraId="5A0E4EE7" w14:textId="1073C309" w:rsidR="00397F33" w:rsidRPr="00397F33" w:rsidRDefault="00397F33" w:rsidP="00397F33">
      <w:pPr>
        <w:rPr>
          <w:rFonts w:ascii="Garamond" w:hAnsi="Garamond"/>
          <w:sz w:val="24"/>
          <w:szCs w:val="24"/>
          <w:lang w:val="fr-FR"/>
        </w:rPr>
      </w:pPr>
      <w:r w:rsidRPr="00397F33">
        <w:rPr>
          <w:rFonts w:ascii="Garamond" w:hAnsi="Garamond"/>
          <w:sz w:val="24"/>
          <w:szCs w:val="24"/>
          <w:lang w:val="fr-FR"/>
        </w:rPr>
        <w:t xml:space="preserve">67. </w:t>
      </w:r>
      <w:r w:rsidRPr="00397F33">
        <w:rPr>
          <w:rFonts w:ascii="Garamond" w:hAnsi="Garamond"/>
          <w:i/>
          <w:sz w:val="24"/>
          <w:szCs w:val="24"/>
          <w:lang w:val="fr-FR"/>
        </w:rPr>
        <w:t>« A propos et de bonne grâce… »</w:t>
      </w:r>
      <w:r w:rsidRPr="00397F33">
        <w:rPr>
          <w:rFonts w:ascii="Garamond" w:hAnsi="Garamond"/>
          <w:sz w:val="24"/>
          <w:szCs w:val="24"/>
          <w:lang w:val="fr-FR"/>
        </w:rPr>
        <w:t> : la rhétorique de l’entretien selon Méré.</w:t>
      </w:r>
    </w:p>
    <w:p w14:paraId="75B3778F" w14:textId="4CB7D29A" w:rsidR="00E74585" w:rsidRDefault="00E74585" w:rsidP="00E74585">
      <w:pPr>
        <w:rPr>
          <w:rFonts w:ascii="Garamond" w:hAnsi="Garamond"/>
          <w:sz w:val="24"/>
          <w:szCs w:val="24"/>
          <w:lang w:val="fr-FR"/>
        </w:rPr>
      </w:pPr>
      <w:r w:rsidRPr="00E74585">
        <w:rPr>
          <w:rFonts w:ascii="Garamond" w:hAnsi="Garamond"/>
          <w:sz w:val="24"/>
          <w:szCs w:val="24"/>
          <w:lang w:val="fr-FR"/>
        </w:rPr>
        <w:t xml:space="preserve">69. </w:t>
      </w:r>
      <w:r w:rsidRPr="007C45B5">
        <w:rPr>
          <w:rFonts w:ascii="Garamond" w:hAnsi="Garamond"/>
          <w:sz w:val="24"/>
          <w:szCs w:val="24"/>
          <w:lang w:val="fr-FR"/>
        </w:rPr>
        <w:t xml:space="preserve">« Les processus d’inversion dans les </w:t>
      </w:r>
      <w:r w:rsidRPr="007C45B5">
        <w:rPr>
          <w:rFonts w:ascii="Garamond" w:hAnsi="Garamond"/>
          <w:i/>
          <w:sz w:val="24"/>
          <w:szCs w:val="24"/>
          <w:lang w:val="fr-FR"/>
        </w:rPr>
        <w:t>Précieuses ridicules</w:t>
      </w:r>
      <w:r w:rsidRPr="007C45B5">
        <w:rPr>
          <w:rFonts w:ascii="Garamond" w:hAnsi="Garamond"/>
          <w:sz w:val="24"/>
          <w:szCs w:val="24"/>
          <w:lang w:val="fr-FR"/>
        </w:rPr>
        <w:t xml:space="preserve"> de Molière »</w:t>
      </w:r>
      <w:r>
        <w:rPr>
          <w:rFonts w:ascii="Garamond" w:hAnsi="Garamond"/>
          <w:sz w:val="24"/>
          <w:szCs w:val="24"/>
          <w:lang w:val="fr-FR"/>
        </w:rPr>
        <w:t xml:space="preserve"> (à paraître)</w:t>
      </w:r>
    </w:p>
    <w:p w14:paraId="6CE0AA65" w14:textId="77777777" w:rsidR="0092599F" w:rsidRDefault="0092599F" w:rsidP="00E74585">
      <w:pPr>
        <w:rPr>
          <w:rFonts w:ascii="Garamond" w:hAnsi="Garamond"/>
          <w:sz w:val="24"/>
          <w:szCs w:val="24"/>
          <w:lang w:val="fr-FR"/>
        </w:rPr>
      </w:pPr>
    </w:p>
    <w:p w14:paraId="35A6025C" w14:textId="77777777" w:rsidR="0092599F" w:rsidRPr="0092599F" w:rsidRDefault="0092599F" w:rsidP="0092599F">
      <w:pPr>
        <w:jc w:val="center"/>
        <w:rPr>
          <w:rFonts w:ascii="Garamond" w:hAnsi="Garamond"/>
          <w:b/>
          <w:bCs/>
          <w:sz w:val="24"/>
          <w:szCs w:val="24"/>
          <w:lang w:val="fr-FR"/>
        </w:rPr>
      </w:pPr>
      <w:r w:rsidRPr="0092599F">
        <w:rPr>
          <w:rFonts w:ascii="Garamond" w:hAnsi="Garamond"/>
          <w:b/>
          <w:bCs/>
          <w:sz w:val="24"/>
          <w:szCs w:val="24"/>
          <w:lang w:val="fr-FR"/>
        </w:rPr>
        <w:t xml:space="preserve">Présentation de la conférence sur </w:t>
      </w:r>
      <w:r w:rsidRPr="0092599F">
        <w:rPr>
          <w:rFonts w:ascii="Garamond" w:hAnsi="Garamond"/>
          <w:b/>
          <w:bCs/>
          <w:i/>
          <w:sz w:val="24"/>
          <w:szCs w:val="24"/>
          <w:lang w:val="fr-FR"/>
        </w:rPr>
        <w:t>Molière iconoclaste</w:t>
      </w:r>
    </w:p>
    <w:p w14:paraId="2322DCF8" w14:textId="77777777" w:rsidR="0092599F" w:rsidRPr="0092599F" w:rsidRDefault="0092599F" w:rsidP="0092599F">
      <w:pPr>
        <w:rPr>
          <w:rFonts w:ascii="Garamond" w:hAnsi="Garamond"/>
          <w:sz w:val="24"/>
          <w:szCs w:val="24"/>
          <w:lang w:val="fr-FR"/>
        </w:rPr>
      </w:pPr>
    </w:p>
    <w:p w14:paraId="0B83ED04" w14:textId="77777777" w:rsidR="0092599F" w:rsidRPr="0092599F" w:rsidRDefault="0092599F" w:rsidP="0092599F">
      <w:pPr>
        <w:rPr>
          <w:rFonts w:ascii="Garamond" w:hAnsi="Garamond"/>
          <w:sz w:val="24"/>
          <w:szCs w:val="24"/>
          <w:lang w:val="fr-FR"/>
        </w:rPr>
      </w:pPr>
      <w:r w:rsidRPr="0092599F">
        <w:rPr>
          <w:rFonts w:ascii="Garamond" w:hAnsi="Garamond"/>
          <w:sz w:val="24"/>
          <w:szCs w:val="24"/>
          <w:lang w:val="fr-FR"/>
        </w:rPr>
        <w:tab/>
        <w:t xml:space="preserve">S’interroger sur un Molière iconoclaste, c’est prendre conscience en particulier d’un véritable bêtisier moliéresque, profondément loufoque et anticonformiste. Le dramaturge s’est montré en effet orfèvre en la matière. Mais cette expressivité et cette performance, sur le plan dramatique, dissimulent un envers qu’il conviendra d’analyser. Le rire moliéresque fonctionne </w:t>
      </w:r>
      <w:r w:rsidRPr="0092599F">
        <w:rPr>
          <w:rFonts w:ascii="Garamond" w:hAnsi="Garamond"/>
          <w:i/>
          <w:sz w:val="24"/>
          <w:szCs w:val="24"/>
          <w:lang w:val="fr-FR"/>
        </w:rPr>
        <w:t>recto-verso</w:t>
      </w:r>
      <w:r w:rsidRPr="0092599F">
        <w:rPr>
          <w:rFonts w:ascii="Garamond" w:hAnsi="Garamond"/>
          <w:sz w:val="24"/>
          <w:szCs w:val="24"/>
          <w:lang w:val="fr-FR"/>
        </w:rPr>
        <w:t xml:space="preserve">, tantôt lumineux, tantôt ténébreux. Comment dès lors interpréter cette étrange collusion de l’absurdité avec la profondeur ? La raison côtoie la déraison, et toutes deux s’abîment dans une dérision qui n’hésite pas à jouer la partition d’un contrechant parodique. </w:t>
      </w:r>
    </w:p>
    <w:p w14:paraId="5F285A8A" w14:textId="77777777" w:rsidR="0092599F" w:rsidRPr="0092599F" w:rsidRDefault="0092599F" w:rsidP="0092599F">
      <w:pPr>
        <w:rPr>
          <w:rFonts w:ascii="Garamond" w:hAnsi="Garamond"/>
          <w:sz w:val="24"/>
          <w:szCs w:val="24"/>
          <w:lang w:val="fr-FR"/>
        </w:rPr>
      </w:pPr>
    </w:p>
    <w:p w14:paraId="2A2640CB" w14:textId="77777777" w:rsidR="0092599F" w:rsidRPr="0092599F" w:rsidRDefault="0092599F" w:rsidP="0092599F">
      <w:pPr>
        <w:rPr>
          <w:rFonts w:ascii="Garamond" w:hAnsi="Garamond"/>
          <w:sz w:val="24"/>
          <w:szCs w:val="24"/>
          <w:lang w:val="fr-FR"/>
        </w:rPr>
      </w:pPr>
      <w:r w:rsidRPr="0092599F">
        <w:rPr>
          <w:rFonts w:ascii="Garamond" w:hAnsi="Garamond"/>
          <w:sz w:val="24"/>
          <w:szCs w:val="24"/>
          <w:lang w:val="fr-FR"/>
        </w:rPr>
        <w:tab/>
        <w:t xml:space="preserve">Evoquer le comique dans le théâtre de Molière relève certes de l’évidence, pour ne pas dire du truisme. Et cependant la nature spécifique de ce rire soulève des questions ou des difficultés. Il suffirait pour s’en convaincre de se répéter le verdict bien connu établi par le dramaturge lui-même : « c’est une étrange entreprise que celle de faire rire les honnêtes gens. » (Dorante dans </w:t>
      </w:r>
      <w:r w:rsidRPr="0092599F">
        <w:rPr>
          <w:rFonts w:ascii="Garamond" w:hAnsi="Garamond"/>
          <w:i/>
          <w:sz w:val="24"/>
          <w:szCs w:val="24"/>
          <w:lang w:val="fr-FR"/>
        </w:rPr>
        <w:t>La Critique de l’Ecole des femmes</w:t>
      </w:r>
      <w:r w:rsidRPr="0092599F">
        <w:rPr>
          <w:rFonts w:ascii="Garamond" w:hAnsi="Garamond"/>
          <w:sz w:val="24"/>
          <w:szCs w:val="24"/>
          <w:lang w:val="fr-FR"/>
        </w:rPr>
        <w:t>, Scène 6). Molière avait conscience d’un tel défi, mais il percevait aussi le  mystère.</w:t>
      </w:r>
    </w:p>
    <w:p w14:paraId="18906B5D" w14:textId="77777777" w:rsidR="0092599F" w:rsidRPr="0092599F" w:rsidRDefault="0092599F" w:rsidP="0092599F">
      <w:pPr>
        <w:rPr>
          <w:rFonts w:ascii="Garamond" w:hAnsi="Garamond"/>
          <w:sz w:val="24"/>
          <w:szCs w:val="24"/>
          <w:lang w:val="fr-FR"/>
        </w:rPr>
      </w:pPr>
    </w:p>
    <w:p w14:paraId="77738A6D" w14:textId="77777777" w:rsidR="0092599F" w:rsidRPr="0092599F" w:rsidRDefault="0092599F" w:rsidP="0092599F">
      <w:pPr>
        <w:rPr>
          <w:rFonts w:ascii="Garamond" w:hAnsi="Garamond"/>
          <w:sz w:val="24"/>
          <w:szCs w:val="24"/>
          <w:lang w:val="fr-FR"/>
        </w:rPr>
      </w:pPr>
      <w:r w:rsidRPr="0092599F">
        <w:rPr>
          <w:rFonts w:ascii="Garamond" w:hAnsi="Garamond"/>
          <w:sz w:val="24"/>
          <w:szCs w:val="24"/>
          <w:lang w:val="fr-FR"/>
        </w:rPr>
        <w:tab/>
        <w:t>Le rire relève en effet d’une alchimie fort complexe, où le corps et l’esprit, mais aussi la raison et la déraison peuvent être rivaux ou complices, partageant une joyeuse solidarité, ou se défiant au contraire dans un partenariat conflictuel, fiers de leurs prérogatives ou de leur autonomie. Le théâtre de Molière, profondément ludique et farcesque, se caractérise par son aptitude à dégonfler les baudruches et à démystifier les idées reçues. Il est spontanément iconoclaste, sur les marges du contrepoint et du contrechant.</w:t>
      </w:r>
    </w:p>
    <w:p w14:paraId="50DC7CA1" w14:textId="77777777" w:rsidR="0092599F" w:rsidRDefault="0092599F" w:rsidP="00E74585">
      <w:pPr>
        <w:rPr>
          <w:rFonts w:ascii="Garamond" w:hAnsi="Garamond"/>
          <w:sz w:val="24"/>
          <w:szCs w:val="24"/>
          <w:lang w:val="fr-FR"/>
        </w:rPr>
      </w:pPr>
    </w:p>
    <w:p w14:paraId="42AC8C37" w14:textId="77777777" w:rsidR="00B65529" w:rsidRPr="007C45B5" w:rsidRDefault="00B65529" w:rsidP="00F81756">
      <w:pPr>
        <w:rPr>
          <w:rFonts w:ascii="Garamond" w:hAnsi="Garamond"/>
          <w:sz w:val="24"/>
          <w:szCs w:val="24"/>
          <w:lang w:val="fr-FR"/>
        </w:rPr>
      </w:pPr>
    </w:p>
    <w:p w14:paraId="1CE33FCA" w14:textId="77777777" w:rsidR="00F81756" w:rsidRPr="001D1C1F" w:rsidRDefault="00F81756" w:rsidP="009010B9">
      <w:pPr>
        <w:pStyle w:val="Web"/>
        <w:shd w:val="clear" w:color="auto" w:fill="FFFFFF"/>
        <w:snapToGrid w:val="0"/>
        <w:spacing w:before="0" w:beforeAutospacing="0" w:after="0" w:afterAutospacing="0"/>
        <w:jc w:val="center"/>
        <w:rPr>
          <w:rFonts w:ascii="ＭＳ 明朝" w:eastAsia="ＭＳ 明朝" w:hAnsi="ＭＳ 明朝" w:cs="ＭＳ 明朝"/>
          <w:color w:val="4D4D4D"/>
          <w:sz w:val="22"/>
          <w:szCs w:val="22"/>
          <w:lang w:val="fr-FR"/>
        </w:rPr>
      </w:pPr>
    </w:p>
    <w:sectPr w:rsidR="00F81756" w:rsidRPr="001D1C1F" w:rsidSect="00AF7C8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Roboto">
    <w:altName w:val="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B36E2F"/>
    <w:multiLevelType w:val="hybridMultilevel"/>
    <w:tmpl w:val="67905898"/>
    <w:lvl w:ilvl="0" w:tplc="90CECDBE">
      <w:start w:val="69"/>
      <w:numFmt w:val="bullet"/>
      <w:lvlText w:val=""/>
      <w:lvlJc w:val="left"/>
      <w:pPr>
        <w:ind w:left="720" w:hanging="360"/>
      </w:pPr>
      <w:rPr>
        <w:rFonts w:ascii="Garamond" w:eastAsiaTheme="minorEastAsia"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38079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hyphenationZone w:val="425"/>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C8B"/>
    <w:rsid w:val="00021696"/>
    <w:rsid w:val="00036DB3"/>
    <w:rsid w:val="000A0133"/>
    <w:rsid w:val="00104491"/>
    <w:rsid w:val="0017625C"/>
    <w:rsid w:val="001D0584"/>
    <w:rsid w:val="001D1C1F"/>
    <w:rsid w:val="002A5CF8"/>
    <w:rsid w:val="00361F0F"/>
    <w:rsid w:val="00374401"/>
    <w:rsid w:val="00397F33"/>
    <w:rsid w:val="003A314A"/>
    <w:rsid w:val="00440FA2"/>
    <w:rsid w:val="00452F65"/>
    <w:rsid w:val="004B34E3"/>
    <w:rsid w:val="004F23CB"/>
    <w:rsid w:val="00537C39"/>
    <w:rsid w:val="00563C6B"/>
    <w:rsid w:val="00577D26"/>
    <w:rsid w:val="00631F0B"/>
    <w:rsid w:val="006E2099"/>
    <w:rsid w:val="00761A97"/>
    <w:rsid w:val="007A474E"/>
    <w:rsid w:val="007C45B5"/>
    <w:rsid w:val="0080243B"/>
    <w:rsid w:val="009010B9"/>
    <w:rsid w:val="0092599F"/>
    <w:rsid w:val="0096233C"/>
    <w:rsid w:val="00983F53"/>
    <w:rsid w:val="00A264F9"/>
    <w:rsid w:val="00AF7C8B"/>
    <w:rsid w:val="00B32376"/>
    <w:rsid w:val="00B65529"/>
    <w:rsid w:val="00B73ADC"/>
    <w:rsid w:val="00BF04ED"/>
    <w:rsid w:val="00BF5D1A"/>
    <w:rsid w:val="00CE6B90"/>
    <w:rsid w:val="00D01896"/>
    <w:rsid w:val="00D51BAC"/>
    <w:rsid w:val="00E640CF"/>
    <w:rsid w:val="00E74585"/>
    <w:rsid w:val="00EA6F07"/>
    <w:rsid w:val="00EF1C30"/>
    <w:rsid w:val="00EF73BB"/>
    <w:rsid w:val="00F817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68A677"/>
  <w15:chartTrackingRefBased/>
  <w15:docId w15:val="{B554E431-43EB-44D7-904C-CB57D7C93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F7C8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F7C8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F7C8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F7C8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F7C8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F7C8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F7C8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F7C8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F7C8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F7C8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F7C8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F7C8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F7C8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F7C8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F7C8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F7C8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F7C8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F7C8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F7C8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F7C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7C8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F7C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7C8B"/>
    <w:pPr>
      <w:spacing w:before="160" w:after="160"/>
      <w:jc w:val="center"/>
    </w:pPr>
    <w:rPr>
      <w:i/>
      <w:iCs/>
      <w:color w:val="404040" w:themeColor="text1" w:themeTint="BF"/>
    </w:rPr>
  </w:style>
  <w:style w:type="character" w:customStyle="1" w:styleId="a8">
    <w:name w:val="引用文 (文字)"/>
    <w:basedOn w:val="a0"/>
    <w:link w:val="a7"/>
    <w:uiPriority w:val="29"/>
    <w:rsid w:val="00AF7C8B"/>
    <w:rPr>
      <w:i/>
      <w:iCs/>
      <w:color w:val="404040" w:themeColor="text1" w:themeTint="BF"/>
    </w:rPr>
  </w:style>
  <w:style w:type="paragraph" w:styleId="a9">
    <w:name w:val="List Paragraph"/>
    <w:basedOn w:val="a"/>
    <w:uiPriority w:val="34"/>
    <w:qFormat/>
    <w:rsid w:val="00AF7C8B"/>
    <w:pPr>
      <w:ind w:left="720"/>
      <w:contextualSpacing/>
    </w:pPr>
  </w:style>
  <w:style w:type="character" w:styleId="21">
    <w:name w:val="Intense Emphasis"/>
    <w:basedOn w:val="a0"/>
    <w:uiPriority w:val="21"/>
    <w:qFormat/>
    <w:rsid w:val="00AF7C8B"/>
    <w:rPr>
      <w:i/>
      <w:iCs/>
      <w:color w:val="0F4761" w:themeColor="accent1" w:themeShade="BF"/>
    </w:rPr>
  </w:style>
  <w:style w:type="paragraph" w:styleId="22">
    <w:name w:val="Intense Quote"/>
    <w:basedOn w:val="a"/>
    <w:next w:val="a"/>
    <w:link w:val="23"/>
    <w:uiPriority w:val="30"/>
    <w:qFormat/>
    <w:rsid w:val="00AF7C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F7C8B"/>
    <w:rPr>
      <w:i/>
      <w:iCs/>
      <w:color w:val="0F4761" w:themeColor="accent1" w:themeShade="BF"/>
    </w:rPr>
  </w:style>
  <w:style w:type="character" w:styleId="24">
    <w:name w:val="Intense Reference"/>
    <w:basedOn w:val="a0"/>
    <w:uiPriority w:val="32"/>
    <w:qFormat/>
    <w:rsid w:val="00AF7C8B"/>
    <w:rPr>
      <w:b/>
      <w:bCs/>
      <w:smallCaps/>
      <w:color w:val="0F4761" w:themeColor="accent1" w:themeShade="BF"/>
      <w:spacing w:val="5"/>
    </w:rPr>
  </w:style>
  <w:style w:type="paragraph" w:styleId="Web">
    <w:name w:val="Normal (Web)"/>
    <w:basedOn w:val="a"/>
    <w:uiPriority w:val="99"/>
    <w:unhideWhenUsed/>
    <w:rsid w:val="00AF7C8B"/>
    <w:pPr>
      <w:widowControl/>
      <w:spacing w:before="100" w:beforeAutospacing="1" w:after="100" w:afterAutospacing="1"/>
      <w:jc w:val="left"/>
    </w:pPr>
    <w:rPr>
      <w:rFonts w:ascii="Times New Roman" w:eastAsia="Times New Roman" w:hAnsi="Times New Roman" w:cs="Times New Roman"/>
      <w:kern w:val="0"/>
      <w:sz w:val="24"/>
      <w:szCs w:val="24"/>
      <w:lang w:val="fr-CH"/>
    </w:rPr>
  </w:style>
  <w:style w:type="character" w:styleId="aa">
    <w:name w:val="Strong"/>
    <w:basedOn w:val="a0"/>
    <w:uiPriority w:val="22"/>
    <w:qFormat/>
    <w:rsid w:val="00AF7C8B"/>
    <w:rPr>
      <w:b/>
      <w:bCs/>
    </w:rPr>
  </w:style>
  <w:style w:type="character" w:styleId="ab">
    <w:name w:val="Hyperlink"/>
    <w:basedOn w:val="a0"/>
    <w:uiPriority w:val="99"/>
    <w:unhideWhenUsed/>
    <w:rsid w:val="00CE6B90"/>
    <w:rPr>
      <w:color w:val="467886" w:themeColor="hyperlink"/>
      <w:u w:val="single"/>
    </w:rPr>
  </w:style>
  <w:style w:type="character" w:styleId="ac">
    <w:name w:val="Unresolved Mention"/>
    <w:basedOn w:val="a0"/>
    <w:uiPriority w:val="99"/>
    <w:semiHidden/>
    <w:unhideWhenUsed/>
    <w:rsid w:val="00CE6B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985042">
      <w:bodyDiv w:val="1"/>
      <w:marLeft w:val="0"/>
      <w:marRight w:val="0"/>
      <w:marTop w:val="0"/>
      <w:marBottom w:val="0"/>
      <w:divBdr>
        <w:top w:val="none" w:sz="0" w:space="0" w:color="auto"/>
        <w:left w:val="none" w:sz="0" w:space="0" w:color="auto"/>
        <w:bottom w:val="none" w:sz="0" w:space="0" w:color="auto"/>
        <w:right w:val="none" w:sz="0" w:space="0" w:color="auto"/>
      </w:divBdr>
    </w:div>
    <w:div w:id="1115559900">
      <w:bodyDiv w:val="1"/>
      <w:marLeft w:val="0"/>
      <w:marRight w:val="0"/>
      <w:marTop w:val="0"/>
      <w:marBottom w:val="0"/>
      <w:divBdr>
        <w:top w:val="none" w:sz="0" w:space="0" w:color="auto"/>
        <w:left w:val="none" w:sz="0" w:space="0" w:color="auto"/>
        <w:bottom w:val="none" w:sz="0" w:space="0" w:color="auto"/>
        <w:right w:val="none" w:sz="0" w:space="0" w:color="auto"/>
      </w:divBdr>
    </w:div>
    <w:div w:id="1122916008">
      <w:bodyDiv w:val="1"/>
      <w:marLeft w:val="0"/>
      <w:marRight w:val="0"/>
      <w:marTop w:val="0"/>
      <w:marBottom w:val="0"/>
      <w:divBdr>
        <w:top w:val="none" w:sz="0" w:space="0" w:color="auto"/>
        <w:left w:val="none" w:sz="0" w:space="0" w:color="auto"/>
        <w:bottom w:val="none" w:sz="0" w:space="0" w:color="auto"/>
        <w:right w:val="none" w:sz="0" w:space="0" w:color="auto"/>
      </w:divBdr>
    </w:div>
    <w:div w:id="117094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las.waseda.jp/french/actualites/evenements/2024/11/01/37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3</Pages>
  <Words>875</Words>
  <Characters>4816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odile dussud</dc:creator>
  <cp:keywords/>
  <dc:description/>
  <cp:lastModifiedBy>odile dussud</cp:lastModifiedBy>
  <cp:revision>37</cp:revision>
  <cp:lastPrinted>2024-10-31T05:05:00Z</cp:lastPrinted>
  <dcterms:created xsi:type="dcterms:W3CDTF">2024-10-31T04:15:00Z</dcterms:created>
  <dcterms:modified xsi:type="dcterms:W3CDTF">2024-11-01T02:04:00Z</dcterms:modified>
</cp:coreProperties>
</file>